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172A"/>
          <w:sz w:val="30"/>
        </w:rPr>
        <w:t>Phase-Locked Wave Bifurcation &amp; Sovereign Kinetic-Echo Dynamics:</w:t>
        <w:br/>
        <w:t>Resolving the Elliott–Wolfe Regime Paradox in Zero-GC Quantitative Systems</w:t>
      </w:r>
    </w:p>
    <w:p>
      <w:pPr>
        <w:jc w:val="center"/>
      </w:pPr>
      <w:r>
        <w:rPr>
          <w:color w:val="475569"/>
          <w:sz w:val="20"/>
        </w:rPr>
        <w:t>Simeon Bala</w:t>
        <w:br/>
        <w:t>Nyx Language Research Group, Sophia Autonomous Intelligence Lab &amp; 9jaonCloud</w:t>
        <w:br/>
        <w:t>Correspondence: info@9jaoncloud.com.ng | https://nyx.9jaoncloud.com.ng</w:t>
        <w:br/>
        <w:t>Published November 2026 | Open Scientific Disclosure (Zero Source-Code Leak Protocol)</w:t>
      </w:r>
    </w:p>
    <w:p>
      <w:pPr>
        <w:pStyle w:val="Heading1"/>
      </w:pPr>
      <w:r>
        <w:t>Abstract</w:t>
      </w:r>
    </w:p>
    <w:p>
      <w:r>
        <w:t>Classical technical wave theories in financial economics suffer from a fundamental structural contradiction: Elliott Wave Theory (1938) models market price action as a self-similar travelling impulse wave that expands in the direction of the primary trend, whereas Wolfe Wave Theory (1996) models 5-point converging wedges as damped standing waves that revert toward an equilibrium line at Wave 5. When deployed in live automated trading systems, static Elliott pullbacks suffer severe drawdowns during low-efficiency standing-wave consolidations, while static Wolfe 3-Drive reversals suffer catastrophic tail losses when Wave 5 undergoes a super-critical trend bifurcation—most notably on high-momentum commodities such as Gold (XAUUSD).</w:t>
        <w:br/>
        <w:br/>
        <w:t>In this paper, we formulate a unified mathematical framework—Phase-Locked Wave Bifurcation—and introduce three novel wave archetypes: (1) the Sovereign Kinetic-Echo Wave (SKEW), (2) the Liquidity-Echo Truncation Wave (LETW), and (3) the Sovereign Phase-Locked Bifurcated Wave (SPBW). Evaluated across 24,000 real MetaTrader 5 M5 candlesticks and 3,000 H1 candlesticks spanning 6 global asset classes under strict 70% In-Sample / 30% Out-of-Sample Walk-Forward protocols, SPBW achieves +27.55R net profit on Gold (XAUUSD) with a 2.52 Profit Factor and 4.00R maximum drawdown (outperforming classic Wolfe Waves by more than 5x while cutting drawdown by 75%), and +28.77R across all 6 assets with 108.5% Walk-Forward Efficiency. The mathematical engine is compiled to deterministic machine code in the Nyx Systems Programming Language, guaranteeing 0.00 ms garbage-collection pauses.</w:t>
      </w:r>
    </w:p>
    <w:p>
      <w:pPr>
        <w:pStyle w:val="Heading1"/>
      </w:pPr>
      <w:r>
        <w:t>1. The Four Mathematical Wave Laws</w:t>
      </w:r>
    </w:p>
    <w:p>
      <w:r>
        <w:t>1. Law 1 (Phase-Space Wave Bifurcation Gate): Measures normalized 8-bar EMA-50 drift D_t = |EMA50(t) - EMA50(t-8)| / ATR14 and 20-bar Kaufman Efficiency Ratio ER20. When D_t &gt;= 0.45 and ER20 &gt;= 0.16 aligned with the H1 Macro Umbrella (EMA10 vs EMA30), the market is in a Super-Critical Travelling Wave Regime. When D_t &lt; 0.45, the market enters a Sub-Critical Standing-Wave Cavity.</w:t>
        <w:br/>
        <w:t>2. Law 2 (Harmonic Golden-Zone Absorption &amp; Liquidity-Echo Truncation): In Super-Critical regimes, SKEW captures 24-bar impulses (&gt;= 2.4 ATR) pulling back into the 35.0% to 78.6% Fibonacci zone with an institutional absorption wick (&gt;= 0.28 ATR). LETW captures Wave-C Echo Truncations inside the EMA-21 value zone after Wave-A sweeps prior structural liquidity.</w:t>
        <w:br/>
        <w:t>3. Law 3 (Causal Savitzky-Golay Quadratic Ignition): Requires causal 5-point least-squares polynomial velocity a1(t) to accelerate in the wave direction (alpha_SG(t) = (a1(t) - a1(t-1))/ATR) simultaneously with a candle close beyond the prior bar extremum and EMA-8.</w:t>
        <w:br/>
        <w:t>4. Law 4 (Intrabar-Safe Dynamic Wave Ratchet): Evaluates intrabar SL/TP first, locks +0.20R Breakeven after +1.15R excursion, and trails behind closed 2-bar M5 swing pivots after +1.75R toward a 3.0R–3.2R target.</w:t>
      </w:r>
    </w:p>
    <w:p>
      <w:pPr>
        <w:pStyle w:val="Heading1"/>
      </w:pPr>
      <w:r>
        <w:t>2. Empirical Walk-Forward Verification (24,000 Live MT5 M5 Bars)</w:t>
      </w:r>
    </w:p>
    <w:tbl>
      <w:tblPr>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Pr>
          <w:p>
            <w:r>
              <w:rPr>
                <w:b/>
                <w:sz w:val="17"/>
              </w:rPr>
              <w:t>Wave Archetype</w:t>
            </w:r>
          </w:p>
        </w:tc>
        <w:tc>
          <w:tcPr>
            <w:tcW w:type="dxa" w:w="1560"/>
          </w:tcPr>
          <w:p>
            <w:r>
              <w:rPr>
                <w:b/>
                <w:sz w:val="17"/>
              </w:rPr>
              <w:t>XAUUSD IS / OOS</w:t>
            </w:r>
          </w:p>
        </w:tc>
        <w:tc>
          <w:tcPr>
            <w:tcW w:type="dxa" w:w="1560"/>
          </w:tcPr>
          <w:p>
            <w:r>
              <w:rPr>
                <w:b/>
                <w:sz w:val="17"/>
              </w:rPr>
              <w:t>XAUUSD Net R</w:t>
            </w:r>
          </w:p>
        </w:tc>
        <w:tc>
          <w:tcPr>
            <w:tcW w:type="dxa" w:w="1560"/>
          </w:tcPr>
          <w:p>
            <w:r>
              <w:rPr>
                <w:b/>
                <w:sz w:val="17"/>
              </w:rPr>
              <w:t>XAUUSD WR / PF</w:t>
            </w:r>
          </w:p>
        </w:tc>
        <w:tc>
          <w:tcPr>
            <w:tcW w:type="dxa" w:w="1560"/>
          </w:tcPr>
          <w:p>
            <w:r>
              <w:rPr>
                <w:b/>
                <w:sz w:val="17"/>
              </w:rPr>
              <w:t>XAUUSD Max DD</w:t>
            </w:r>
          </w:p>
        </w:tc>
        <w:tc>
          <w:tcPr>
            <w:tcW w:type="dxa" w:w="1560"/>
          </w:tcPr>
          <w:p>
            <w:r>
              <w:rPr>
                <w:b/>
                <w:sz w:val="17"/>
              </w:rPr>
              <w:t>6-Asset Net R</w:t>
            </w:r>
          </w:p>
        </w:tc>
      </w:tr>
      <w:tr>
        <w:tc>
          <w:tcPr>
            <w:tcW w:type="dxa" w:w="1560"/>
          </w:tcPr>
          <w:p>
            <w:r>
              <w:rPr>
                <w:sz w:val="17"/>
              </w:rPr>
              <w:t>Baseline 1: Classic Wolfe 3-Drive</w:t>
            </w:r>
          </w:p>
        </w:tc>
        <w:tc>
          <w:tcPr>
            <w:tcW w:type="dxa" w:w="1560"/>
          </w:tcPr>
          <w:p>
            <w:r>
              <w:rPr>
                <w:sz w:val="17"/>
              </w:rPr>
              <w:t>+13.52R / -8.20R</w:t>
            </w:r>
          </w:p>
        </w:tc>
        <w:tc>
          <w:tcPr>
            <w:tcW w:type="dxa" w:w="1560"/>
          </w:tcPr>
          <w:p>
            <w:r>
              <w:rPr>
                <w:sz w:val="17"/>
              </w:rPr>
              <w:t>+5.32R</w:t>
            </w:r>
          </w:p>
        </w:tc>
        <w:tc>
          <w:tcPr>
            <w:tcW w:type="dxa" w:w="1560"/>
          </w:tcPr>
          <w:p>
            <w:r>
              <w:rPr>
                <w:sz w:val="17"/>
              </w:rPr>
              <w:t>47.5% / 1.07</w:t>
            </w:r>
          </w:p>
        </w:tc>
        <w:tc>
          <w:tcPr>
            <w:tcW w:type="dxa" w:w="1560"/>
          </w:tcPr>
          <w:p>
            <w:r>
              <w:rPr>
                <w:sz w:val="17"/>
              </w:rPr>
              <w:t>15.94R</w:t>
            </w:r>
          </w:p>
        </w:tc>
        <w:tc>
          <w:tcPr>
            <w:tcW w:type="dxa" w:w="1560"/>
          </w:tcPr>
          <w:p>
            <w:r>
              <w:rPr>
                <w:sz w:val="17"/>
              </w:rPr>
              <w:t>+44.47R</w:t>
            </w:r>
          </w:p>
        </w:tc>
      </w:tr>
      <w:tr>
        <w:tc>
          <w:tcPr>
            <w:tcW w:type="dxa" w:w="1560"/>
          </w:tcPr>
          <w:p>
            <w:r>
              <w:rPr>
                <w:sz w:val="17"/>
              </w:rPr>
              <w:t>Baseline 2: Classic Elliott W3/W4</w:t>
            </w:r>
          </w:p>
        </w:tc>
        <w:tc>
          <w:tcPr>
            <w:tcW w:type="dxa" w:w="1560"/>
          </w:tcPr>
          <w:p>
            <w:r>
              <w:rPr>
                <w:sz w:val="17"/>
              </w:rPr>
              <w:t>-0.89R / +5.84R</w:t>
            </w:r>
          </w:p>
        </w:tc>
        <w:tc>
          <w:tcPr>
            <w:tcW w:type="dxa" w:w="1560"/>
          </w:tcPr>
          <w:p>
            <w:r>
              <w:rPr>
                <w:sz w:val="17"/>
              </w:rPr>
              <w:t>+4.95R</w:t>
            </w:r>
          </w:p>
        </w:tc>
        <w:tc>
          <w:tcPr>
            <w:tcW w:type="dxa" w:w="1560"/>
          </w:tcPr>
          <w:p>
            <w:r>
              <w:rPr>
                <w:sz w:val="17"/>
              </w:rPr>
              <w:t>52.9% / 1.20</w:t>
            </w:r>
          </w:p>
        </w:tc>
        <w:tc>
          <w:tcPr>
            <w:tcW w:type="dxa" w:w="1560"/>
          </w:tcPr>
          <w:p>
            <w:r>
              <w:rPr>
                <w:sz w:val="17"/>
              </w:rPr>
              <w:t>8.13R</w:t>
            </w:r>
          </w:p>
        </w:tc>
        <w:tc>
          <w:tcPr>
            <w:tcW w:type="dxa" w:w="1560"/>
          </w:tcPr>
          <w:p>
            <w:r>
              <w:rPr>
                <w:sz w:val="17"/>
              </w:rPr>
              <w:t>-5.71R</w:t>
            </w:r>
          </w:p>
        </w:tc>
      </w:tr>
      <w:tr>
        <w:tc>
          <w:tcPr>
            <w:tcW w:type="dxa" w:w="1560"/>
          </w:tcPr>
          <w:p>
            <w:r>
              <w:rPr>
                <w:b/>
                <w:sz w:val="17"/>
              </w:rPr>
              <w:t>Novel I: Liquidity-Echo (LETW)</w:t>
            </w:r>
          </w:p>
        </w:tc>
        <w:tc>
          <w:tcPr>
            <w:tcW w:type="dxa" w:w="1560"/>
          </w:tcPr>
          <w:p>
            <w:r>
              <w:rPr>
                <w:b/>
                <w:sz w:val="17"/>
              </w:rPr>
              <w:t>+8.39R / +2.31R</w:t>
            </w:r>
          </w:p>
        </w:tc>
        <w:tc>
          <w:tcPr>
            <w:tcW w:type="dxa" w:w="1560"/>
          </w:tcPr>
          <w:p>
            <w:r>
              <w:rPr>
                <w:b/>
                <w:sz w:val="17"/>
              </w:rPr>
              <w:t>+10.70R</w:t>
            </w:r>
          </w:p>
        </w:tc>
        <w:tc>
          <w:tcPr>
            <w:tcW w:type="dxa" w:w="1560"/>
          </w:tcPr>
          <w:p>
            <w:r>
              <w:rPr>
                <w:b/>
                <w:sz w:val="17"/>
              </w:rPr>
              <w:t>51.6% / 1.45</w:t>
            </w:r>
          </w:p>
        </w:tc>
        <w:tc>
          <w:tcPr>
            <w:tcW w:type="dxa" w:w="1560"/>
          </w:tcPr>
          <w:p>
            <w:r>
              <w:rPr>
                <w:b/>
                <w:sz w:val="17"/>
              </w:rPr>
              <w:t>6.14R</w:t>
            </w:r>
          </w:p>
        </w:tc>
        <w:tc>
          <w:tcPr>
            <w:tcW w:type="dxa" w:w="1560"/>
          </w:tcPr>
          <w:p>
            <w:r>
              <w:rPr>
                <w:b/>
                <w:sz w:val="17"/>
              </w:rPr>
              <w:t>+49.46R</w:t>
            </w:r>
          </w:p>
        </w:tc>
      </w:tr>
      <w:tr>
        <w:tc>
          <w:tcPr>
            <w:tcW w:type="dxa" w:w="1560"/>
          </w:tcPr>
          <w:p>
            <w:r>
              <w:rPr>
                <w:b/>
                <w:sz w:val="17"/>
              </w:rPr>
              <w:t>Novel II: Sovereign Kinetic-Echo (SKEW)</w:t>
            </w:r>
          </w:p>
        </w:tc>
        <w:tc>
          <w:tcPr>
            <w:tcW w:type="dxa" w:w="1560"/>
          </w:tcPr>
          <w:p>
            <w:r>
              <w:rPr>
                <w:b/>
                <w:sz w:val="17"/>
              </w:rPr>
              <w:t>+9.06R / +4.96R</w:t>
            </w:r>
          </w:p>
        </w:tc>
        <w:tc>
          <w:tcPr>
            <w:tcW w:type="dxa" w:w="1560"/>
          </w:tcPr>
          <w:p>
            <w:r>
              <w:rPr>
                <w:b/>
                <w:sz w:val="17"/>
              </w:rPr>
              <w:t>+14.02R</w:t>
            </w:r>
          </w:p>
        </w:tc>
        <w:tc>
          <w:tcPr>
            <w:tcW w:type="dxa" w:w="1560"/>
          </w:tcPr>
          <w:p>
            <w:r>
              <w:rPr>
                <w:b/>
                <w:sz w:val="17"/>
              </w:rPr>
              <w:t>65.5% / 2.55</w:t>
            </w:r>
          </w:p>
        </w:tc>
        <w:tc>
          <w:tcPr>
            <w:tcW w:type="dxa" w:w="1560"/>
          </w:tcPr>
          <w:p>
            <w:r>
              <w:rPr>
                <w:b/>
                <w:sz w:val="17"/>
              </w:rPr>
              <w:t>2.00R</w:t>
            </w:r>
          </w:p>
        </w:tc>
        <w:tc>
          <w:tcPr>
            <w:tcW w:type="dxa" w:w="1560"/>
          </w:tcPr>
          <w:p>
            <w:r>
              <w:rPr>
                <w:b/>
                <w:sz w:val="17"/>
              </w:rPr>
              <w:t>+19.83R</w:t>
            </w:r>
          </w:p>
        </w:tc>
      </w:tr>
      <w:tr>
        <w:tc>
          <w:tcPr>
            <w:tcW w:type="dxa" w:w="1560"/>
          </w:tcPr>
          <w:p>
            <w:r>
              <w:rPr>
                <w:b/>
                <w:sz w:val="17"/>
              </w:rPr>
              <w:t>Novel III: Phase-Locked Bifurcated (SPBW)</w:t>
            </w:r>
          </w:p>
        </w:tc>
        <w:tc>
          <w:tcPr>
            <w:tcW w:type="dxa" w:w="1560"/>
          </w:tcPr>
          <w:p>
            <w:r>
              <w:rPr>
                <w:b/>
                <w:sz w:val="17"/>
              </w:rPr>
              <w:t>+19.53R / +8.02R</w:t>
            </w:r>
          </w:p>
        </w:tc>
        <w:tc>
          <w:tcPr>
            <w:tcW w:type="dxa" w:w="1560"/>
          </w:tcPr>
          <w:p>
            <w:r>
              <w:rPr>
                <w:b/>
                <w:sz w:val="17"/>
              </w:rPr>
              <w:t>+27.55R</w:t>
            </w:r>
          </w:p>
        </w:tc>
        <w:tc>
          <w:tcPr>
            <w:tcW w:type="dxa" w:w="1560"/>
          </w:tcPr>
          <w:p>
            <w:r>
              <w:rPr>
                <w:b/>
                <w:sz w:val="17"/>
              </w:rPr>
              <w:t>57.4% / 2.52</w:t>
            </w:r>
          </w:p>
        </w:tc>
        <w:tc>
          <w:tcPr>
            <w:tcW w:type="dxa" w:w="1560"/>
          </w:tcPr>
          <w:p>
            <w:r>
              <w:rPr>
                <w:b/>
                <w:sz w:val="17"/>
              </w:rPr>
              <w:t>4.00R</w:t>
            </w:r>
          </w:p>
        </w:tc>
        <w:tc>
          <w:tcPr>
            <w:tcW w:type="dxa" w:w="1560"/>
          </w:tcPr>
          <w:p>
            <w:r>
              <w:rPr>
                <w:b/>
                <w:sz w:val="17"/>
              </w:rPr>
              <w:t>+28.77R</w:t>
            </w:r>
          </w:p>
        </w:tc>
      </w:tr>
    </w:tbl>
    <w:p>
      <w:pPr>
        <w:pStyle w:val="Heading1"/>
      </w:pPr>
      <w:r>
        <w:t>3. Zero-GC Native Silicon Execution in Nyx</w:t>
      </w:r>
    </w:p>
    <w:p>
      <w:r>
        <w:t>Compiled via the Nyx native compiler (nyx.exe) on an Intel Core i7-6700HQ (4C/8T @ 2.60 GHz, 16 GB DDR4 RAM), all wave state transitions and polynomial stencil evaluations execute inside O(1) Region Bump Arenas with 0.00 ms garbage-collection pause latency.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