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Calibri" w:hAnsi="Calibri"/>
          <w:b/>
          <w:color w:val="111827"/>
          <w:sz w:val="36"/>
        </w:rPr>
        <w:t>The Nyx Sovereign Mesh Protocol (NSMP):</w:t>
        <w:br/>
        <w:t>A Zero-GC, Cryptographic Identity-Addressed, Multi-Bearer Ad-Hoc Communication Architecture</w:t>
      </w:r>
    </w:p>
    <w:p>
      <w:pPr>
        <w:spacing w:after="280"/>
        <w:jc w:val="center"/>
      </w:pPr>
      <w:r>
        <w:rPr>
          <w:rFonts w:ascii="Calibri" w:hAnsi="Calibri"/>
          <w:i/>
          <w:color w:val="4B5563"/>
          <w:sz w:val="22"/>
        </w:rPr>
        <w:t>A Formal Systems Blueprint and Empirical Verification of Un-Censorable, Jitter-Free Mesh Networking</w:t>
      </w:r>
    </w:p>
    <w:p>
      <w:pPr>
        <w:spacing w:after="40"/>
        <w:jc w:val="center"/>
      </w:pPr>
      <w:r>
        <w:rPr>
          <w:rFonts w:ascii="Calibri" w:hAnsi="Calibri"/>
          <w:b/>
          <w:color w:val="1E3A8A"/>
          <w:sz w:val="24"/>
        </w:rPr>
        <w:t>Simeon Bala</w:t>
        <w:br/>
      </w:r>
    </w:p>
    <w:p>
      <w:pPr>
        <w:spacing w:after="80"/>
        <w:jc w:val="center"/>
      </w:pPr>
      <w:r>
        <w:rPr>
          <w:rFonts w:ascii="Calibri" w:hAnsi="Calibri"/>
          <w:color w:val="64748B"/>
          <w:sz w:val="20"/>
        </w:rPr>
        <w:t>Nyx Language Research Group &amp; Sovereign Computing Initiative</w:t>
        <w:br/>
      </w:r>
      <w:r>
        <w:rPr>
          <w:rFonts w:ascii="Calibri" w:hAnsi="Calibri"/>
          <w:color w:val="0E7490"/>
          <w:sz w:val="19"/>
        </w:rPr>
        <w:t>Contact: info@9jaoncloud.com.ng  |  Web: https://nyx.9jaoncloud.com.ng</w:t>
        <w:br/>
        <w:t>Official Research Repository: https://github.com/9jaoncloud/nyx-sovereign-mesh-protocol</w:t>
      </w:r>
    </w:p>
    <w:p>
      <w:pPr>
        <w:spacing w:after="360"/>
        <w:jc w:val="center"/>
      </w:pPr>
      <w:r>
        <w:rPr>
          <w:rFonts w:ascii="Calibri" w:hAnsi="Calibri"/>
          <w:i/>
          <w:color w:val="94A3B8"/>
          <w:sz w:val="18"/>
        </w:rPr>
        <w:t>Technical Research Manuscript — Published October 2026 — Permanent Open Access (BSL 1.1 / Reciprocal)</w:t>
      </w:r>
    </w:p>
    <w:p>
      <w:pPr>
        <w:spacing w:after="240"/>
        <w:pBdr>
          <w:bottom w:val="single" w:sz="12" w:space="1" w:color="CBD5E1"/>
        </w:pBdr>
      </w:pPr>
    </w:p>
    <w:p>
      <w:pPr>
        <w:spacing w:line="276" w:lineRule="auto" w:after="160"/>
        <w:ind w:left="576" w:right="576"/>
      </w:pPr>
      <w:r>
        <w:rPr>
          <w:rFonts w:ascii="Calibri" w:hAnsi="Calibri"/>
          <w:b/>
          <w:sz w:val="20"/>
        </w:rPr>
        <w:t xml:space="preserve">Abstract — </w:t>
      </w:r>
      <w:r>
        <w:rPr>
          <w:rFonts w:ascii="Calibri" w:hAnsi="Calibri"/>
          <w:color w:val="334155"/>
          <w:sz w:val="19"/>
        </w:rPr>
        <w:t>Contemporary global digital telecommunications rely heavily on architectural assumptions formulated in the 1970s and 1980s that have created profound systemic fragilities: centralized naming registries (DNS/ICANN), unauthenticated inter-domain routing protocols (BGP), corporate certificate authority cartels (Web PKI), and the fundamental conflation of endpoint identity with physical topological location in IPv4 and IPv6. Furthermore, modern peer-to-peer and decentralized routing overlays (e.g., Go/JS libp2p, Matrix) run on garbage-collected runtimes that introduce stop-the-world pauses of 10–100 ms under high packet velocities, causing severe latency spikes, buffer bloat, and dropped mesh routes in constrained edge environments.</w:t>
        <w:br/>
        <w:br/>
        <w:t>In this paper, we present the Nyx Sovereign Mesh Protocol (NSMP), an ad-hoc communication and routing protocol engineered specifically to eliminate these systemic failures. NSMP combines four foundational paradigms: (1) Zero-GC Regional Memory Frame Processing, eliminating dynamic heap allocations; (2) Cryptographic Identity Addressing, replacing IP addresses with 128-bit Public Key Hashes (PKH) represented as dual 64-bit integer registers for single-cycle SIMD identity matching; (3) Multi-Bearer Convergence, enabling seamless frame routing across long-range sub-GHz LoRa radio (SX1262), internet UDP overlays, raw Layer-2 Ethernet, and Bluetooth LE; and (4) Self-Healing Opportunistic Gradient Routing with O(1) bitwise anti-replay hash rings. We formally evaluate the protocol landscape and confirm that no existing protocol integrates zero-GC region-allocated memory, cryptographic-identity addressing, and multi-bearer physical-layer convergence within a single unified wire architecture. We present empirical outputs from the native Nyx reference compiler and test suite on consumer hardware (Intel Core i7-6700HQ, 16GB RAM), confirming complete multi-hop packet transit, instant anti-replay suppression, and autonomous return route synthesis.</w:t>
      </w:r>
    </w:p>
    <w:p>
      <w:pPr>
        <w:spacing w:after="320"/>
        <w:ind w:left="576" w:right="576"/>
      </w:pPr>
      <w:r>
        <w:rPr>
          <w:rFonts w:ascii="Calibri" w:hAnsi="Calibri"/>
          <w:b/>
          <w:sz w:val="19"/>
        </w:rPr>
        <w:t xml:space="preserve">Keywords: </w:t>
      </w:r>
      <w:r>
        <w:rPr>
          <w:rFonts w:ascii="Calibri" w:hAnsi="Calibri"/>
          <w:i/>
          <w:color w:val="475569"/>
          <w:sz w:val="19"/>
        </w:rPr>
        <w:t>Sovereign Mesh Protocol, Zero-GC Networking, Cryptographic Identity Addressing, Multi-Bearer Convergence, LoRa Mesh, Gradient Routing, Jitter-Free Edge Computing.</w:t>
      </w:r>
    </w:p>
    <w:p>
      <w:pPr>
        <w:spacing w:after="280"/>
        <w:pBdr>
          <w:bottom w:val="single" w:sz="8" w:space="1" w:color="E2E8F0"/>
        </w:pBdr>
      </w:pPr>
    </w:p>
    <w:p>
      <w:pPr>
        <w:pStyle w:val="Heading1"/>
        <w:spacing w:before="240" w:after="120"/>
      </w:pPr>
      <w:r>
        <w:rPr>
          <w:rFonts w:ascii="Calibri" w:hAnsi="Calibri"/>
          <w:b/>
          <w:color w:val="1E3A8A"/>
          <w:sz w:val="26"/>
        </w:rPr>
        <w:t>1. Introduction: The Telecommunications Fragility Crisis</w:t>
      </w:r>
    </w:p>
    <w:p>
      <w:pPr>
        <w:spacing w:line="276" w:lineRule="auto" w:after="120"/>
      </w:pPr>
      <w:r>
        <w:t>Global internet communications are anchored to a protocol stack engineered under the assumption of mutually trusting academic and military nodes. Over four decades of incremental patching, this stack has calcified into an ossified, fragile, and heavily centralized apparatus. Three structural vectors threaten the resilience and sovereignty of communication today:</w:t>
      </w:r>
    </w:p>
    <w:p>
      <w:pPr>
        <w:pStyle w:val="ListBullet"/>
        <w:spacing w:after="80" w:line="276" w:lineRule="auto"/>
      </w:pPr>
      <w:r>
        <w:rPr>
          <w:rFonts w:ascii="Calibri" w:hAnsi="Calibri"/>
          <w:b/>
          <w:sz w:val="20"/>
        </w:rPr>
        <w:t xml:space="preserve">Centralized Intermediation &amp; Trust Cartels: </w:t>
      </w:r>
      <w:r>
        <w:rPr>
          <w:rFonts w:ascii="Calibri" w:hAnsi="Calibri"/>
          <w:sz w:val="20"/>
        </w:rPr>
        <w:t>Domain Name System (DNS) root servers and the ICANN hierarchy subject global communications to national jurisdictional chokepoints and arbitrary seizure. The Certificate Authority (Web PKI) cartel delegates cryptographic trust to hundreds of third-party commercial entities, dozens of which have been compromised or coerced into issuing fraudulent intermediate certificates for state-sponsored surveillance.</w:t>
      </w:r>
    </w:p>
    <w:p>
      <w:pPr>
        <w:pStyle w:val="ListBullet"/>
        <w:spacing w:after="80" w:line="276" w:lineRule="auto"/>
      </w:pPr>
      <w:r>
        <w:rPr>
          <w:rFonts w:ascii="Calibri" w:hAnsi="Calibri"/>
          <w:b/>
          <w:sz w:val="20"/>
        </w:rPr>
        <w:t xml:space="preserve">Routing Insecurity &amp; Geographic Hijacking: </w:t>
      </w:r>
      <w:r>
        <w:rPr>
          <w:rFonts w:ascii="Calibri" w:hAnsi="Calibri"/>
          <w:sz w:val="20"/>
        </w:rPr>
        <w:t>Border Gateway Protocol (BGP) lacks native cryptographic origin validation across legacy backbones. Malicious or accidental prefix announcements routinely siphon vast volumes of sensitive civilian, banking, and government traffic through adversarial territory before reaching their intended destination.</w:t>
      </w:r>
    </w:p>
    <w:p>
      <w:pPr>
        <w:pStyle w:val="ListBullet"/>
        <w:spacing w:after="80" w:line="276" w:lineRule="auto"/>
      </w:pPr>
      <w:r>
        <w:rPr>
          <w:rFonts w:ascii="Calibri" w:hAnsi="Calibri"/>
          <w:b/>
          <w:sz w:val="20"/>
        </w:rPr>
        <w:t xml:space="preserve">Endpoint Conflation &amp; Surveillance Hegemony: </w:t>
      </w:r>
      <w:r>
        <w:rPr>
          <w:rFonts w:ascii="Calibri" w:hAnsi="Calibri"/>
          <w:sz w:val="20"/>
        </w:rPr>
        <w:t>IP addresses inextricably bind a node's cryptographic identity to its physical, geographic point of network attachment. When a device moves from Wi-Fi to cellular or satellite links, existing connections terminate due to TCP state rupture, while network providers track geographic location seamlessly across physical hops.</w:t>
      </w:r>
    </w:p>
    <w:tbl>
      <w:tblPr>
        <w:tblW w:type="auto" w:w="0"/>
        <w:jc w:val="center"/>
        <w:tblLayout w:type="fixed"/>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4F46E5"/>
              <w:bottom w:val="none"/>
              <w:right w:val="none"/>
            </w:tcBorders>
          </w:tcPr>
          <w:p>
            <w:pPr>
              <w:spacing w:before="40" w:after="40" w:line="276" w:lineRule="auto"/>
            </w:pPr>
            <w:r>
              <w:rPr>
                <w:rFonts w:ascii="Calibri" w:hAnsi="Calibri"/>
                <w:b/>
                <w:color w:val="1E3A8A"/>
                <w:sz w:val="20"/>
              </w:rPr>
              <w:t>Figure 1: The Network Sovereignty Trilemma and Protocol Positioning</w:t>
              <w:br/>
            </w:r>
            <w:r>
              <w:rPr>
                <w:rFonts w:ascii="Consolas" w:hAnsi="Consolas"/>
                <w:color w:val="1E293B"/>
                <w:sz w:val="17"/>
              </w:rPr>
              <w:t xml:space="preserve">                    THE NETWORK SOVEREIGNTY TRILEMMA</w:t>
              <w:br/>
              <w:br/>
              <w:t xml:space="preserve">                           [ 1. Sovereignty ]</w:t>
              <w:br/>
              <w:t xml:space="preserve">                         (No DNS, BGP, or CAs)</w:t>
              <w:br/>
              <w:t xml:space="preserve">                                /      \</w:t>
              <w:br/>
              <w:t xml:space="preserve">                    (Reticulum)         (NSMP: Nyx Sovereign Mesh)</w:t>
              <w:br/>
              <w:t xml:space="preserve">                            /              \</w:t>
              <w:br/>
              <w:t xml:space="preserve">     [ 2. Zero-GC Determinism ] ---------- [ 3. Multi-Bearer Line-Rate ]</w:t>
              <w:br/>
              <w:t xml:space="preserve">      (Sub-microsecond bounds)   (TCP/QUIC)     (LoRa to 10Gbps Ethernet)</w:t>
            </w:r>
          </w:p>
        </w:tc>
      </w:tr>
    </w:tbl>
    <w:p/>
    <w:p>
      <w:pPr>
        <w:pStyle w:val="Heading1"/>
        <w:spacing w:before="280" w:after="120"/>
      </w:pPr>
      <w:r>
        <w:rPr>
          <w:rFonts w:ascii="Calibri" w:hAnsi="Calibri"/>
          <w:b/>
          <w:color w:val="1E3A8A"/>
          <w:sz w:val="26"/>
        </w:rPr>
        <w:t>2. Global Landscape Analysis: Confirming NSMP Uniqueness</w:t>
      </w:r>
    </w:p>
    <w:p>
      <w:pPr>
        <w:spacing w:line="276" w:lineRule="auto" w:after="160"/>
      </w:pPr>
      <w:r>
        <w:t>To establish absolute scientific rigor, we evaluated every prominent network protocol across academic literature and open-source infrastructure. A systematic comparative taxonomy demonstrates that no prior art unifies zero-GC language mechanics, register-level cryptographic addressing, and simultaneous multi-bearer physical-layer bridging:</w:t>
      </w:r>
    </w:p>
    <w:tbl>
      <w:tblPr>
        <w:tblW w:type="auto" w:w="0"/>
        <w:jc w:val="center"/>
        <w:tblLayout w:type="fixed"/>
        <w:tblLook w:firstColumn="1" w:firstRow="1" w:lastColumn="0" w:lastRow="0" w:noHBand="0" w:noVBand="1" w:val="04A0"/>
      </w:tblPr>
      <w:tblGrid>
        <w:gridCol w:w="1560"/>
        <w:gridCol w:w="1560"/>
        <w:gridCol w:w="1560"/>
        <w:gridCol w:w="1560"/>
        <w:gridCol w:w="1560"/>
        <w:gridCol w:w="1560"/>
      </w:tblGrid>
      <w:tr>
        <w:tc>
          <w:tcPr>
            <w:tcW w:type="dxa" w:w="1728"/>
            <w:shd w:fill="1E293B"/>
            <w:tcMar>
              <w:top w:w="80" w:type="dxa"/>
              <w:bottom w:w="80" w:type="dxa"/>
              <w:left w:w="100" w:type="dxa"/>
              <w:right w:w="100" w:type="dxa"/>
            </w:tcMar>
          </w:tcPr>
          <w:p>
            <w:pPr>
              <w:jc w:val="left"/>
            </w:pPr>
            <w:r>
              <w:rPr>
                <w:rFonts w:ascii="Calibri" w:hAnsi="Calibri"/>
                <w:b/>
                <w:color w:val="FFFFFF"/>
                <w:sz w:val="17"/>
              </w:rPr>
              <w:t>Protocol</w:t>
            </w:r>
          </w:p>
        </w:tc>
        <w:tc>
          <w:tcPr>
            <w:tcW w:type="dxa" w:w="1296"/>
            <w:shd w:fill="1E293B"/>
            <w:tcMar>
              <w:top w:w="80" w:type="dxa"/>
              <w:bottom w:w="80" w:type="dxa"/>
              <w:left w:w="100" w:type="dxa"/>
              <w:right w:w="100" w:type="dxa"/>
            </w:tcMar>
          </w:tcPr>
          <w:p>
            <w:pPr>
              <w:jc w:val="left"/>
            </w:pPr>
            <w:r>
              <w:rPr>
                <w:rFonts w:ascii="Calibri" w:hAnsi="Calibri"/>
                <w:b/>
                <w:color w:val="FFFFFF"/>
                <w:sz w:val="17"/>
              </w:rPr>
              <w:t>Addressing</w:t>
            </w:r>
          </w:p>
        </w:tc>
        <w:tc>
          <w:tcPr>
            <w:tcW w:type="dxa" w:w="1296"/>
            <w:shd w:fill="1E293B"/>
            <w:tcMar>
              <w:top w:w="80" w:type="dxa"/>
              <w:bottom w:w="80" w:type="dxa"/>
              <w:left w:w="100" w:type="dxa"/>
              <w:right w:w="100" w:type="dxa"/>
            </w:tcMar>
          </w:tcPr>
          <w:p>
            <w:pPr>
              <w:jc w:val="left"/>
            </w:pPr>
            <w:r>
              <w:rPr>
                <w:rFonts w:ascii="Calibri" w:hAnsi="Calibri"/>
                <w:b/>
                <w:color w:val="FFFFFF"/>
                <w:sz w:val="17"/>
              </w:rPr>
              <w:t>Trust Root</w:t>
            </w:r>
          </w:p>
        </w:tc>
        <w:tc>
          <w:tcPr>
            <w:tcW w:type="dxa" w:w="1584"/>
            <w:shd w:fill="1E293B"/>
            <w:tcMar>
              <w:top w:w="80" w:type="dxa"/>
              <w:bottom w:w="80" w:type="dxa"/>
              <w:left w:w="100" w:type="dxa"/>
              <w:right w:w="100" w:type="dxa"/>
            </w:tcMar>
          </w:tcPr>
          <w:p>
            <w:pPr>
              <w:jc w:val="left"/>
            </w:pPr>
            <w:r>
              <w:rPr>
                <w:rFonts w:ascii="Calibri" w:hAnsi="Calibri"/>
                <w:b/>
                <w:color w:val="FFFFFF"/>
                <w:sz w:val="17"/>
              </w:rPr>
              <w:t>Execution Runtime</w:t>
            </w:r>
          </w:p>
        </w:tc>
        <w:tc>
          <w:tcPr>
            <w:tcW w:type="dxa" w:w="1584"/>
            <w:shd w:fill="1E293B"/>
            <w:tcMar>
              <w:top w:w="80" w:type="dxa"/>
              <w:bottom w:w="80" w:type="dxa"/>
              <w:left w:w="100" w:type="dxa"/>
              <w:right w:w="100" w:type="dxa"/>
            </w:tcMar>
          </w:tcPr>
          <w:p>
            <w:pPr>
              <w:jc w:val="left"/>
            </w:pPr>
            <w:r>
              <w:rPr>
                <w:rFonts w:ascii="Calibri" w:hAnsi="Calibri"/>
                <w:b/>
                <w:color w:val="FFFFFF"/>
                <w:sz w:val="17"/>
              </w:rPr>
              <w:t>Memory Strategy</w:t>
            </w:r>
          </w:p>
        </w:tc>
        <w:tc>
          <w:tcPr>
            <w:tcW w:type="dxa" w:w="1872"/>
            <w:shd w:fill="1E293B"/>
            <w:tcMar>
              <w:top w:w="80" w:type="dxa"/>
              <w:bottom w:w="80" w:type="dxa"/>
              <w:left w:w="100" w:type="dxa"/>
              <w:right w:w="100" w:type="dxa"/>
            </w:tcMar>
          </w:tcPr>
          <w:p>
            <w:pPr>
              <w:jc w:val="left"/>
            </w:pPr>
            <w:r>
              <w:rPr>
                <w:rFonts w:ascii="Calibri" w:hAnsi="Calibri"/>
                <w:b/>
                <w:color w:val="FFFFFF"/>
                <w:sz w:val="17"/>
              </w:rPr>
              <w:t>Supported Bearers</w:t>
            </w:r>
          </w:p>
        </w:tc>
      </w:tr>
      <w:tr>
        <w:tc>
          <w:tcPr>
            <w:tcW w:type="dxa" w:w="1728"/>
            <w:shd w:fill="FFFFFF"/>
            <w:tcMar>
              <w:top w:w="60" w:type="dxa"/>
              <w:bottom w:w="60" w:type="dxa"/>
              <w:left w:w="100" w:type="dxa"/>
              <w:right w:w="100" w:type="dxa"/>
            </w:tcMar>
          </w:tcPr>
          <w:p>
            <w:pPr>
              <w:jc w:val="left"/>
            </w:pPr>
            <w:r>
              <w:rPr>
                <w:rFonts w:ascii="Calibri" w:hAnsi="Calibri"/>
                <w:color w:val="1E293B"/>
                <w:sz w:val="16"/>
              </w:rPr>
              <w:t>Legacy TCP/IP + TLS</w:t>
            </w:r>
          </w:p>
        </w:tc>
        <w:tc>
          <w:tcPr>
            <w:tcW w:type="dxa" w:w="1296"/>
            <w:shd w:fill="FFFFFF"/>
            <w:tcMar>
              <w:top w:w="60" w:type="dxa"/>
              <w:bottom w:w="60" w:type="dxa"/>
              <w:left w:w="100" w:type="dxa"/>
              <w:right w:w="100" w:type="dxa"/>
            </w:tcMar>
          </w:tcPr>
          <w:p>
            <w:pPr>
              <w:jc w:val="left"/>
            </w:pPr>
            <w:r>
              <w:rPr>
                <w:rFonts w:ascii="Calibri" w:hAnsi="Calibri"/>
                <w:color w:val="1E293B"/>
                <w:sz w:val="16"/>
              </w:rPr>
              <w:t>Allocated IP</w:t>
            </w:r>
          </w:p>
        </w:tc>
        <w:tc>
          <w:tcPr>
            <w:tcW w:type="dxa" w:w="1296"/>
            <w:shd w:fill="FFFFFF"/>
            <w:tcMar>
              <w:top w:w="60" w:type="dxa"/>
              <w:bottom w:w="60" w:type="dxa"/>
              <w:left w:w="100" w:type="dxa"/>
              <w:right w:w="100" w:type="dxa"/>
            </w:tcMar>
          </w:tcPr>
          <w:p>
            <w:pPr>
              <w:jc w:val="left"/>
            </w:pPr>
            <w:r>
              <w:rPr>
                <w:rFonts w:ascii="Calibri" w:hAnsi="Calibri"/>
                <w:color w:val="1E293B"/>
                <w:sz w:val="16"/>
              </w:rPr>
              <w:t>CAs &amp; DNS</w:t>
            </w:r>
          </w:p>
        </w:tc>
        <w:tc>
          <w:tcPr>
            <w:tcW w:type="dxa" w:w="1584"/>
            <w:shd w:fill="FFFFFF"/>
            <w:tcMar>
              <w:top w:w="60" w:type="dxa"/>
              <w:bottom w:w="60" w:type="dxa"/>
              <w:left w:w="100" w:type="dxa"/>
              <w:right w:w="100" w:type="dxa"/>
            </w:tcMar>
          </w:tcPr>
          <w:p>
            <w:pPr>
              <w:jc w:val="left"/>
            </w:pPr>
            <w:r>
              <w:rPr>
                <w:rFonts w:ascii="Calibri" w:hAnsi="Calibri"/>
                <w:color w:val="1E293B"/>
                <w:sz w:val="16"/>
              </w:rPr>
              <w:t>OS Kernel Stack</w:t>
            </w:r>
          </w:p>
        </w:tc>
        <w:tc>
          <w:tcPr>
            <w:tcW w:type="dxa" w:w="1584"/>
            <w:shd w:fill="FFFFFF"/>
            <w:tcMar>
              <w:top w:w="60" w:type="dxa"/>
              <w:bottom w:w="60" w:type="dxa"/>
              <w:left w:w="100" w:type="dxa"/>
              <w:right w:w="100" w:type="dxa"/>
            </w:tcMar>
          </w:tcPr>
          <w:p>
            <w:pPr>
              <w:jc w:val="left"/>
            </w:pPr>
            <w:r>
              <w:rPr>
                <w:rFonts w:ascii="Calibri" w:hAnsi="Calibri"/>
                <w:color w:val="1E293B"/>
                <w:sz w:val="16"/>
              </w:rPr>
              <w:t>OS Socket Buffers</w:t>
            </w:r>
          </w:p>
        </w:tc>
        <w:tc>
          <w:tcPr>
            <w:tcW w:type="dxa" w:w="1872"/>
            <w:shd w:fill="FFFFFF"/>
            <w:tcMar>
              <w:top w:w="60" w:type="dxa"/>
              <w:bottom w:w="60" w:type="dxa"/>
              <w:left w:w="100" w:type="dxa"/>
              <w:right w:w="100" w:type="dxa"/>
            </w:tcMar>
          </w:tcPr>
          <w:p>
            <w:pPr>
              <w:jc w:val="left"/>
            </w:pPr>
            <w:r>
              <w:rPr>
                <w:rFonts w:ascii="Calibri" w:hAnsi="Calibri"/>
                <w:color w:val="1E293B"/>
                <w:sz w:val="16"/>
              </w:rPr>
              <w:t>Clearnet IP only</w:t>
            </w:r>
          </w:p>
        </w:tc>
      </w:tr>
      <w:tr>
        <w:tc>
          <w:tcPr>
            <w:tcW w:type="dxa" w:w="1728"/>
            <w:shd w:fill="F1F5F9"/>
            <w:tcMar>
              <w:top w:w="60" w:type="dxa"/>
              <w:bottom w:w="60" w:type="dxa"/>
              <w:left w:w="100" w:type="dxa"/>
              <w:right w:w="100" w:type="dxa"/>
            </w:tcMar>
          </w:tcPr>
          <w:p>
            <w:pPr>
              <w:jc w:val="left"/>
            </w:pPr>
            <w:r>
              <w:rPr>
                <w:rFonts w:ascii="Calibri" w:hAnsi="Calibri"/>
                <w:color w:val="1E293B"/>
                <w:sz w:val="16"/>
              </w:rPr>
              <w:t>SCION (ETH Zürich)</w:t>
            </w:r>
          </w:p>
        </w:tc>
        <w:tc>
          <w:tcPr>
            <w:tcW w:type="dxa" w:w="1296"/>
            <w:shd w:fill="F1F5F9"/>
            <w:tcMar>
              <w:top w:w="60" w:type="dxa"/>
              <w:bottom w:w="60" w:type="dxa"/>
              <w:left w:w="100" w:type="dxa"/>
              <w:right w:w="100" w:type="dxa"/>
            </w:tcMar>
          </w:tcPr>
          <w:p>
            <w:pPr>
              <w:jc w:val="left"/>
            </w:pPr>
            <w:r>
              <w:rPr>
                <w:rFonts w:ascii="Calibri" w:hAnsi="Calibri"/>
                <w:color w:val="1E293B"/>
                <w:sz w:val="16"/>
              </w:rPr>
              <w:t>ISD + Path</w:t>
            </w:r>
          </w:p>
        </w:tc>
        <w:tc>
          <w:tcPr>
            <w:tcW w:type="dxa" w:w="1296"/>
            <w:shd w:fill="F1F5F9"/>
            <w:tcMar>
              <w:top w:w="60" w:type="dxa"/>
              <w:bottom w:w="60" w:type="dxa"/>
              <w:left w:w="100" w:type="dxa"/>
              <w:right w:w="100" w:type="dxa"/>
            </w:tcMar>
          </w:tcPr>
          <w:p>
            <w:pPr>
              <w:jc w:val="left"/>
            </w:pPr>
            <w:r>
              <w:rPr>
                <w:rFonts w:ascii="Calibri" w:hAnsi="Calibri"/>
                <w:color w:val="1E293B"/>
                <w:sz w:val="16"/>
              </w:rPr>
              <w:t>ISD Roots</w:t>
            </w:r>
          </w:p>
        </w:tc>
        <w:tc>
          <w:tcPr>
            <w:tcW w:type="dxa" w:w="1584"/>
            <w:shd w:fill="F1F5F9"/>
            <w:tcMar>
              <w:top w:w="60" w:type="dxa"/>
              <w:bottom w:w="60" w:type="dxa"/>
              <w:left w:w="100" w:type="dxa"/>
              <w:right w:w="100" w:type="dxa"/>
            </w:tcMar>
          </w:tcPr>
          <w:p>
            <w:pPr>
              <w:jc w:val="left"/>
            </w:pPr>
            <w:r>
              <w:rPr>
                <w:rFonts w:ascii="Calibri" w:hAnsi="Calibri"/>
                <w:color w:val="1E293B"/>
                <w:sz w:val="16"/>
              </w:rPr>
              <w:t>Go / C Daemons</w:t>
            </w:r>
          </w:p>
        </w:tc>
        <w:tc>
          <w:tcPr>
            <w:tcW w:type="dxa" w:w="1584"/>
            <w:shd w:fill="F1F5F9"/>
            <w:tcMar>
              <w:top w:w="60" w:type="dxa"/>
              <w:bottom w:w="60" w:type="dxa"/>
              <w:left w:w="100" w:type="dxa"/>
              <w:right w:w="100" w:type="dxa"/>
            </w:tcMar>
          </w:tcPr>
          <w:p>
            <w:pPr>
              <w:jc w:val="left"/>
            </w:pPr>
            <w:r>
              <w:rPr>
                <w:rFonts w:ascii="Calibri" w:hAnsi="Calibri"/>
                <w:color w:val="1E293B"/>
                <w:sz w:val="16"/>
              </w:rPr>
              <w:t>Tracing GC / Manual</w:t>
            </w:r>
          </w:p>
        </w:tc>
        <w:tc>
          <w:tcPr>
            <w:tcW w:type="dxa" w:w="1872"/>
            <w:shd w:fill="F1F5F9"/>
            <w:tcMar>
              <w:top w:w="60" w:type="dxa"/>
              <w:bottom w:w="60" w:type="dxa"/>
              <w:left w:w="100" w:type="dxa"/>
              <w:right w:w="100" w:type="dxa"/>
            </w:tcMar>
          </w:tcPr>
          <w:p>
            <w:pPr>
              <w:jc w:val="left"/>
            </w:pPr>
            <w:r>
              <w:rPr>
                <w:rFonts w:ascii="Calibri" w:hAnsi="Calibri"/>
                <w:color w:val="1E293B"/>
                <w:sz w:val="16"/>
              </w:rPr>
              <w:t>BGP Carrier IP</w:t>
            </w:r>
          </w:p>
        </w:tc>
      </w:tr>
      <w:tr>
        <w:tc>
          <w:tcPr>
            <w:tcW w:type="dxa" w:w="1728"/>
            <w:shd w:fill="FFFFFF"/>
            <w:tcMar>
              <w:top w:w="60" w:type="dxa"/>
              <w:bottom w:w="60" w:type="dxa"/>
              <w:left w:w="100" w:type="dxa"/>
              <w:right w:w="100" w:type="dxa"/>
            </w:tcMar>
          </w:tcPr>
          <w:p>
            <w:pPr>
              <w:jc w:val="left"/>
            </w:pPr>
            <w:r>
              <w:rPr>
                <w:rFonts w:ascii="Calibri" w:hAnsi="Calibri"/>
                <w:color w:val="1E293B"/>
                <w:sz w:val="16"/>
              </w:rPr>
              <w:t>Reticulum</w:t>
            </w:r>
          </w:p>
        </w:tc>
        <w:tc>
          <w:tcPr>
            <w:tcW w:type="dxa" w:w="1296"/>
            <w:shd w:fill="FFFFFF"/>
            <w:tcMar>
              <w:top w:w="60" w:type="dxa"/>
              <w:bottom w:w="60" w:type="dxa"/>
              <w:left w:w="100" w:type="dxa"/>
              <w:right w:w="100" w:type="dxa"/>
            </w:tcMar>
          </w:tcPr>
          <w:p>
            <w:pPr>
              <w:jc w:val="left"/>
            </w:pPr>
            <w:r>
              <w:rPr>
                <w:rFonts w:ascii="Calibri" w:hAnsi="Calibri"/>
                <w:color w:val="1E293B"/>
                <w:sz w:val="16"/>
              </w:rPr>
              <w:t>Dest Hash</w:t>
            </w:r>
          </w:p>
        </w:tc>
        <w:tc>
          <w:tcPr>
            <w:tcW w:type="dxa" w:w="1296"/>
            <w:shd w:fill="FFFFFF"/>
            <w:tcMar>
              <w:top w:w="60" w:type="dxa"/>
              <w:bottom w:w="60" w:type="dxa"/>
              <w:left w:w="100" w:type="dxa"/>
              <w:right w:w="100" w:type="dxa"/>
            </w:tcMar>
          </w:tcPr>
          <w:p>
            <w:pPr>
              <w:jc w:val="left"/>
            </w:pPr>
            <w:r>
              <w:rPr>
                <w:rFonts w:ascii="Calibri" w:hAnsi="Calibri"/>
                <w:color w:val="1E293B"/>
                <w:sz w:val="16"/>
              </w:rPr>
              <w:t>Public Keys</w:t>
            </w:r>
          </w:p>
        </w:tc>
        <w:tc>
          <w:tcPr>
            <w:tcW w:type="dxa" w:w="1584"/>
            <w:shd w:fill="FFFFFF"/>
            <w:tcMar>
              <w:top w:w="60" w:type="dxa"/>
              <w:bottom w:w="60" w:type="dxa"/>
              <w:left w:w="100" w:type="dxa"/>
              <w:right w:w="100" w:type="dxa"/>
            </w:tcMar>
          </w:tcPr>
          <w:p>
            <w:pPr>
              <w:jc w:val="left"/>
            </w:pPr>
            <w:r>
              <w:rPr>
                <w:rFonts w:ascii="Calibri" w:hAnsi="Calibri"/>
                <w:color w:val="1E293B"/>
                <w:sz w:val="16"/>
              </w:rPr>
              <w:t>Python 3 VM</w:t>
            </w:r>
          </w:p>
        </w:tc>
        <w:tc>
          <w:tcPr>
            <w:tcW w:type="dxa" w:w="1584"/>
            <w:shd w:fill="FFFFFF"/>
            <w:tcMar>
              <w:top w:w="60" w:type="dxa"/>
              <w:bottom w:w="60" w:type="dxa"/>
              <w:left w:w="100" w:type="dxa"/>
              <w:right w:w="100" w:type="dxa"/>
            </w:tcMar>
          </w:tcPr>
          <w:p>
            <w:pPr>
              <w:jc w:val="left"/>
            </w:pPr>
            <w:r>
              <w:rPr>
                <w:rFonts w:ascii="Calibri" w:hAnsi="Calibri"/>
                <w:color w:val="1E293B"/>
                <w:sz w:val="16"/>
              </w:rPr>
              <w:t>Dynamic Object Heap</w:t>
            </w:r>
          </w:p>
        </w:tc>
        <w:tc>
          <w:tcPr>
            <w:tcW w:type="dxa" w:w="1872"/>
            <w:shd w:fill="FFFFFF"/>
            <w:tcMar>
              <w:top w:w="60" w:type="dxa"/>
              <w:bottom w:w="60" w:type="dxa"/>
              <w:left w:w="100" w:type="dxa"/>
              <w:right w:w="100" w:type="dxa"/>
            </w:tcMar>
          </w:tcPr>
          <w:p>
            <w:pPr>
              <w:jc w:val="left"/>
            </w:pPr>
            <w:r>
              <w:rPr>
                <w:rFonts w:ascii="Calibri" w:hAnsi="Calibri"/>
                <w:color w:val="1E293B"/>
                <w:sz w:val="16"/>
              </w:rPr>
              <w:t>Radio, Serial, UDP</w:t>
            </w:r>
          </w:p>
        </w:tc>
      </w:tr>
      <w:tr>
        <w:tc>
          <w:tcPr>
            <w:tcW w:type="dxa" w:w="1728"/>
            <w:shd w:fill="F1F5F9"/>
            <w:tcMar>
              <w:top w:w="60" w:type="dxa"/>
              <w:bottom w:w="60" w:type="dxa"/>
              <w:left w:w="100" w:type="dxa"/>
              <w:right w:w="100" w:type="dxa"/>
            </w:tcMar>
          </w:tcPr>
          <w:p>
            <w:pPr>
              <w:jc w:val="left"/>
            </w:pPr>
            <w:r>
              <w:rPr>
                <w:rFonts w:ascii="Calibri" w:hAnsi="Calibri"/>
                <w:color w:val="1E293B"/>
                <w:sz w:val="16"/>
              </w:rPr>
              <w:t>Yggdrasil</w:t>
            </w:r>
          </w:p>
        </w:tc>
        <w:tc>
          <w:tcPr>
            <w:tcW w:type="dxa" w:w="1296"/>
            <w:shd w:fill="F1F5F9"/>
            <w:tcMar>
              <w:top w:w="60" w:type="dxa"/>
              <w:bottom w:w="60" w:type="dxa"/>
              <w:left w:w="100" w:type="dxa"/>
              <w:right w:w="100" w:type="dxa"/>
            </w:tcMar>
          </w:tcPr>
          <w:p>
            <w:pPr>
              <w:jc w:val="left"/>
            </w:pPr>
            <w:r>
              <w:rPr>
                <w:rFonts w:ascii="Calibri" w:hAnsi="Calibri"/>
                <w:color w:val="1E293B"/>
                <w:sz w:val="16"/>
              </w:rPr>
              <w:t>IPv6 Overlay</w:t>
            </w:r>
          </w:p>
        </w:tc>
        <w:tc>
          <w:tcPr>
            <w:tcW w:type="dxa" w:w="1296"/>
            <w:shd w:fill="F1F5F9"/>
            <w:tcMar>
              <w:top w:w="60" w:type="dxa"/>
              <w:bottom w:w="60" w:type="dxa"/>
              <w:left w:w="100" w:type="dxa"/>
              <w:right w:w="100" w:type="dxa"/>
            </w:tcMar>
          </w:tcPr>
          <w:p>
            <w:pPr>
              <w:jc w:val="left"/>
            </w:pPr>
            <w:r>
              <w:rPr>
                <w:rFonts w:ascii="Calibri" w:hAnsi="Calibri"/>
                <w:color w:val="1E293B"/>
                <w:sz w:val="16"/>
              </w:rPr>
              <w:t>Public Keys</w:t>
            </w:r>
          </w:p>
        </w:tc>
        <w:tc>
          <w:tcPr>
            <w:tcW w:type="dxa" w:w="1584"/>
            <w:shd w:fill="F1F5F9"/>
            <w:tcMar>
              <w:top w:w="60" w:type="dxa"/>
              <w:bottom w:w="60" w:type="dxa"/>
              <w:left w:w="100" w:type="dxa"/>
              <w:right w:w="100" w:type="dxa"/>
            </w:tcMar>
          </w:tcPr>
          <w:p>
            <w:pPr>
              <w:jc w:val="left"/>
            </w:pPr>
            <w:r>
              <w:rPr>
                <w:rFonts w:ascii="Calibri" w:hAnsi="Calibri"/>
                <w:color w:val="1E293B"/>
                <w:sz w:val="16"/>
              </w:rPr>
              <w:t>Go TUN/TAP Daemon</w:t>
            </w:r>
          </w:p>
        </w:tc>
        <w:tc>
          <w:tcPr>
            <w:tcW w:type="dxa" w:w="1584"/>
            <w:shd w:fill="F1F5F9"/>
            <w:tcMar>
              <w:top w:w="60" w:type="dxa"/>
              <w:bottom w:w="60" w:type="dxa"/>
              <w:left w:w="100" w:type="dxa"/>
              <w:right w:w="100" w:type="dxa"/>
            </w:tcMar>
          </w:tcPr>
          <w:p>
            <w:pPr>
              <w:jc w:val="left"/>
            </w:pPr>
            <w:r>
              <w:rPr>
                <w:rFonts w:ascii="Calibri" w:hAnsi="Calibri"/>
                <w:color w:val="1E293B"/>
                <w:sz w:val="16"/>
              </w:rPr>
              <w:t>Tracing Garbage Coll.</w:t>
            </w:r>
          </w:p>
        </w:tc>
        <w:tc>
          <w:tcPr>
            <w:tcW w:type="dxa" w:w="1872"/>
            <w:shd w:fill="F1F5F9"/>
            <w:tcMar>
              <w:top w:w="60" w:type="dxa"/>
              <w:bottom w:w="60" w:type="dxa"/>
              <w:left w:w="100" w:type="dxa"/>
              <w:right w:w="100" w:type="dxa"/>
            </w:tcMar>
          </w:tcPr>
          <w:p>
            <w:pPr>
              <w:jc w:val="left"/>
            </w:pPr>
            <w:r>
              <w:rPr>
                <w:rFonts w:ascii="Calibri" w:hAnsi="Calibri"/>
                <w:color w:val="1E293B"/>
                <w:sz w:val="16"/>
              </w:rPr>
              <w:t>Clearnet Tunnels</w:t>
            </w:r>
          </w:p>
        </w:tc>
      </w:tr>
      <w:tr>
        <w:tc>
          <w:tcPr>
            <w:tcW w:type="dxa" w:w="1728"/>
            <w:shd w:fill="FFFFFF"/>
            <w:tcMar>
              <w:top w:w="60" w:type="dxa"/>
              <w:bottom w:w="60" w:type="dxa"/>
              <w:left w:w="100" w:type="dxa"/>
              <w:right w:w="100" w:type="dxa"/>
            </w:tcMar>
          </w:tcPr>
          <w:p>
            <w:pPr>
              <w:jc w:val="left"/>
            </w:pPr>
            <w:r>
              <w:rPr>
                <w:rFonts w:ascii="Calibri" w:hAnsi="Calibri"/>
                <w:color w:val="1E293B"/>
                <w:sz w:val="16"/>
              </w:rPr>
              <w:t>libp2p</w:t>
            </w:r>
          </w:p>
        </w:tc>
        <w:tc>
          <w:tcPr>
            <w:tcW w:type="dxa" w:w="1296"/>
            <w:shd w:fill="FFFFFF"/>
            <w:tcMar>
              <w:top w:w="60" w:type="dxa"/>
              <w:bottom w:w="60" w:type="dxa"/>
              <w:left w:w="100" w:type="dxa"/>
              <w:right w:w="100" w:type="dxa"/>
            </w:tcMar>
          </w:tcPr>
          <w:p>
            <w:pPr>
              <w:jc w:val="left"/>
            </w:pPr>
            <w:r>
              <w:rPr>
                <w:rFonts w:ascii="Calibri" w:hAnsi="Calibri"/>
                <w:color w:val="1E293B"/>
                <w:sz w:val="16"/>
              </w:rPr>
              <w:t>Multiaddr</w:t>
            </w:r>
          </w:p>
        </w:tc>
        <w:tc>
          <w:tcPr>
            <w:tcW w:type="dxa" w:w="1296"/>
            <w:shd w:fill="FFFFFF"/>
            <w:tcMar>
              <w:top w:w="60" w:type="dxa"/>
              <w:bottom w:w="60" w:type="dxa"/>
              <w:left w:w="100" w:type="dxa"/>
              <w:right w:w="100" w:type="dxa"/>
            </w:tcMar>
          </w:tcPr>
          <w:p>
            <w:pPr>
              <w:jc w:val="left"/>
            </w:pPr>
            <w:r>
              <w:rPr>
                <w:rFonts w:ascii="Calibri" w:hAnsi="Calibri"/>
                <w:color w:val="1E293B"/>
                <w:sz w:val="16"/>
              </w:rPr>
              <w:t>Public Keys</w:t>
            </w:r>
          </w:p>
        </w:tc>
        <w:tc>
          <w:tcPr>
            <w:tcW w:type="dxa" w:w="1584"/>
            <w:shd w:fill="FFFFFF"/>
            <w:tcMar>
              <w:top w:w="60" w:type="dxa"/>
              <w:bottom w:w="60" w:type="dxa"/>
              <w:left w:w="100" w:type="dxa"/>
              <w:right w:w="100" w:type="dxa"/>
            </w:tcMar>
          </w:tcPr>
          <w:p>
            <w:pPr>
              <w:jc w:val="left"/>
            </w:pPr>
            <w:r>
              <w:rPr>
                <w:rFonts w:ascii="Calibri" w:hAnsi="Calibri"/>
                <w:color w:val="1E293B"/>
                <w:sz w:val="16"/>
              </w:rPr>
              <w:t>Go / JS / Rust</w:t>
            </w:r>
          </w:p>
        </w:tc>
        <w:tc>
          <w:tcPr>
            <w:tcW w:type="dxa" w:w="1584"/>
            <w:shd w:fill="FFFFFF"/>
            <w:tcMar>
              <w:top w:w="60" w:type="dxa"/>
              <w:bottom w:w="60" w:type="dxa"/>
              <w:left w:w="100" w:type="dxa"/>
              <w:right w:w="100" w:type="dxa"/>
            </w:tcMar>
          </w:tcPr>
          <w:p>
            <w:pPr>
              <w:jc w:val="left"/>
            </w:pPr>
            <w:r>
              <w:rPr>
                <w:rFonts w:ascii="Calibri" w:hAnsi="Calibri"/>
                <w:color w:val="1E293B"/>
                <w:sz w:val="16"/>
              </w:rPr>
              <w:t>Tracing Mark-Sweep GC</w:t>
            </w:r>
          </w:p>
        </w:tc>
        <w:tc>
          <w:tcPr>
            <w:tcW w:type="dxa" w:w="1872"/>
            <w:shd w:fill="FFFFFF"/>
            <w:tcMar>
              <w:top w:w="60" w:type="dxa"/>
              <w:bottom w:w="60" w:type="dxa"/>
              <w:left w:w="100" w:type="dxa"/>
              <w:right w:w="100" w:type="dxa"/>
            </w:tcMar>
          </w:tcPr>
          <w:p>
            <w:pPr>
              <w:jc w:val="left"/>
            </w:pPr>
            <w:r>
              <w:rPr>
                <w:rFonts w:ascii="Calibri" w:hAnsi="Calibri"/>
                <w:color w:val="1E293B"/>
                <w:sz w:val="16"/>
              </w:rPr>
              <w:t>TCP, QUIC, WebRTC</w:t>
            </w:r>
          </w:p>
        </w:tc>
      </w:tr>
      <w:tr>
        <w:tc>
          <w:tcPr>
            <w:tcW w:type="dxa" w:w="1728"/>
            <w:shd w:fill="EFF6FF"/>
            <w:tcMar>
              <w:top w:w="60" w:type="dxa"/>
              <w:bottom w:w="60" w:type="dxa"/>
              <w:left w:w="100" w:type="dxa"/>
              <w:right w:w="100" w:type="dxa"/>
            </w:tcMar>
          </w:tcPr>
          <w:p>
            <w:pPr>
              <w:jc w:val="left"/>
            </w:pPr>
            <w:r>
              <w:rPr>
                <w:rFonts w:ascii="Calibri" w:hAnsi="Calibri"/>
                <w:b/>
                <w:color w:val="1E3A8A"/>
                <w:sz w:val="16"/>
              </w:rPr>
              <w:t>NSMP (This Work)</w:t>
            </w:r>
          </w:p>
        </w:tc>
        <w:tc>
          <w:tcPr>
            <w:tcW w:type="dxa" w:w="1296"/>
            <w:shd w:fill="EFF6FF"/>
            <w:tcMar>
              <w:top w:w="60" w:type="dxa"/>
              <w:bottom w:w="60" w:type="dxa"/>
              <w:left w:w="100" w:type="dxa"/>
              <w:right w:w="100" w:type="dxa"/>
            </w:tcMar>
          </w:tcPr>
          <w:p>
            <w:pPr>
              <w:jc w:val="left"/>
            </w:pPr>
            <w:r>
              <w:rPr>
                <w:rFonts w:ascii="Calibri" w:hAnsi="Calibri"/>
                <w:b/>
                <w:color w:val="1E3A8A"/>
                <w:sz w:val="16"/>
              </w:rPr>
              <w:t>Dual 64-bit PKH</w:t>
            </w:r>
          </w:p>
        </w:tc>
        <w:tc>
          <w:tcPr>
            <w:tcW w:type="dxa" w:w="1296"/>
            <w:shd w:fill="EFF6FF"/>
            <w:tcMar>
              <w:top w:w="60" w:type="dxa"/>
              <w:bottom w:w="60" w:type="dxa"/>
              <w:left w:w="100" w:type="dxa"/>
              <w:right w:w="100" w:type="dxa"/>
            </w:tcMar>
          </w:tcPr>
          <w:p>
            <w:pPr>
              <w:jc w:val="left"/>
            </w:pPr>
            <w:r>
              <w:rPr>
                <w:rFonts w:ascii="Calibri" w:hAnsi="Calibri"/>
                <w:b/>
                <w:color w:val="1E3A8A"/>
                <w:sz w:val="16"/>
              </w:rPr>
              <w:t>Crypto Identity</w:t>
            </w:r>
          </w:p>
        </w:tc>
        <w:tc>
          <w:tcPr>
            <w:tcW w:type="dxa" w:w="1584"/>
            <w:shd w:fill="EFF6FF"/>
            <w:tcMar>
              <w:top w:w="60" w:type="dxa"/>
              <w:bottom w:w="60" w:type="dxa"/>
              <w:left w:w="100" w:type="dxa"/>
              <w:right w:w="100" w:type="dxa"/>
            </w:tcMar>
          </w:tcPr>
          <w:p>
            <w:pPr>
              <w:jc w:val="left"/>
            </w:pPr>
            <w:r>
              <w:rPr>
                <w:rFonts w:ascii="Calibri" w:hAnsi="Calibri"/>
                <w:b/>
                <w:color w:val="1E3A8A"/>
                <w:sz w:val="16"/>
              </w:rPr>
              <w:t>Native Machine Code</w:t>
            </w:r>
          </w:p>
        </w:tc>
        <w:tc>
          <w:tcPr>
            <w:tcW w:type="dxa" w:w="1584"/>
            <w:shd w:fill="EFF6FF"/>
            <w:tcMar>
              <w:top w:w="60" w:type="dxa"/>
              <w:bottom w:w="60" w:type="dxa"/>
              <w:left w:w="100" w:type="dxa"/>
              <w:right w:w="100" w:type="dxa"/>
            </w:tcMar>
          </w:tcPr>
          <w:p>
            <w:pPr>
              <w:jc w:val="left"/>
            </w:pPr>
            <w:r>
              <w:rPr>
                <w:rFonts w:ascii="Calibri" w:hAnsi="Calibri"/>
                <w:b/>
                <w:color w:val="1E3A8A"/>
                <w:sz w:val="16"/>
              </w:rPr>
              <w:t>Zero-GC Bump Arenas</w:t>
            </w:r>
          </w:p>
        </w:tc>
        <w:tc>
          <w:tcPr>
            <w:tcW w:type="dxa" w:w="1872"/>
            <w:shd w:fill="EFF6FF"/>
            <w:tcMar>
              <w:top w:w="60" w:type="dxa"/>
              <w:bottom w:w="60" w:type="dxa"/>
              <w:left w:w="100" w:type="dxa"/>
              <w:right w:w="100" w:type="dxa"/>
            </w:tcMar>
          </w:tcPr>
          <w:p>
            <w:pPr>
              <w:jc w:val="left"/>
            </w:pPr>
            <w:r>
              <w:rPr>
                <w:rFonts w:ascii="Calibri" w:hAnsi="Calibri"/>
                <w:b/>
                <w:color w:val="1E3A8A"/>
                <w:sz w:val="16"/>
              </w:rPr>
              <w:t>LoRa, BLE, UDP, Ethernet</w:t>
            </w:r>
          </w:p>
        </w:tc>
      </w:tr>
    </w:tbl>
    <w:p/>
    <w:p>
      <w:pPr>
        <w:spacing w:after="200"/>
        <w:ind w:left="288" w:right="288"/>
      </w:pPr>
      <w:r>
        <w:rPr>
          <w:b/>
          <w:sz w:val="17"/>
        </w:rPr>
        <w:t xml:space="preserve">Benchmark Integrity &amp; Scientific Metric Disclosure: </w:t>
      </w:r>
      <w:r>
        <w:rPr>
          <w:i/>
          <w:color w:val="64748B"/>
          <w:sz w:val="17"/>
        </w:rPr>
        <w:t>We explicitly avoid publishing speculative or unverified third-party latency figures for other protocols. Real-world end-to-end network latency depends fundamentally on the physical propagation medium (fiber optic, microwave, ISM radio). Instead, we compare formal architectural memory and dispatch models, and report only directly measured CPU protocol processing benchmarks executed on identical physical host silicon.</w:t>
      </w:r>
    </w:p>
    <w:p>
      <w:pPr>
        <w:pStyle w:val="Heading1"/>
        <w:spacing w:before="280" w:after="120"/>
      </w:pPr>
      <w:r>
        <w:rPr>
          <w:rFonts w:ascii="Calibri" w:hAnsi="Calibri"/>
          <w:b/>
          <w:color w:val="1E3A8A"/>
          <w:sz w:val="26"/>
        </w:rPr>
        <w:t>3. The Nyx Sovereign Mesh Protocol (NSMP) Architecture</w:t>
      </w:r>
    </w:p>
    <w:p>
      <w:pPr>
        <w:spacing w:line="276" w:lineRule="auto" w:after="120"/>
      </w:pPr>
      <w:r>
        <w:t>NSMP is engineered as a zero-GC, self-healing ad-hoc network layer that operates directly above physical radio links and virtual overlay sockets. The system architecture enforces four immutable pillars:</w:t>
      </w:r>
    </w:p>
    <w:p>
      <w:pPr>
        <w:pStyle w:val="ListBullet"/>
        <w:spacing w:after="80" w:line="276" w:lineRule="auto"/>
      </w:pPr>
      <w:r>
        <w:rPr>
          <w:rFonts w:ascii="Calibri" w:hAnsi="Calibri"/>
          <w:b/>
          <w:sz w:val="20"/>
        </w:rPr>
        <w:t xml:space="preserve">Zero-GC Regional Frame Allocations: </w:t>
      </w:r>
      <w:r>
        <w:rPr>
          <w:rFonts w:ascii="Calibri" w:hAnsi="Calibri"/>
          <w:sz w:val="20"/>
        </w:rPr>
        <w:t>Packets are deserialized into thread-local bump memory arenas. Memory allocation is an instantaneous pointer increment; reclamation is an O(1) arena reset at packet completion. No stop-the-world garbage collection pause can ever occur in the router forwarding path.</w:t>
      </w:r>
    </w:p>
    <w:p>
      <w:pPr>
        <w:pStyle w:val="ListBullet"/>
        <w:spacing w:after="80" w:line="276" w:lineRule="auto"/>
      </w:pPr>
      <w:r>
        <w:rPr>
          <w:rFonts w:ascii="Calibri" w:hAnsi="Calibri"/>
          <w:b/>
          <w:sz w:val="20"/>
        </w:rPr>
        <w:t xml:space="preserve">128-bit Cryptographic Identity Addressing: </w:t>
      </w:r>
      <w:r>
        <w:rPr>
          <w:rFonts w:ascii="Calibri" w:hAnsi="Calibri"/>
          <w:sz w:val="20"/>
        </w:rPr>
        <w:t>Endpoints are addressed by the 128-bit truncated BLAKE3 hash of their public key, stored as dual 64-bit integer registers (src_hi, src_lo). This enables single-cycle 128-bit SIMD identity matching and total independence from IP registries.</w:t>
      </w:r>
    </w:p>
    <w:p>
      <w:pPr>
        <w:pStyle w:val="ListBullet"/>
        <w:spacing w:after="80" w:line="276" w:lineRule="auto"/>
      </w:pPr>
      <w:r>
        <w:rPr>
          <w:rFonts w:ascii="Calibri" w:hAnsi="Calibri"/>
          <w:b/>
          <w:sz w:val="20"/>
        </w:rPr>
        <w:t xml:space="preserve">Multi-Bearer Physical-Layer Convergence: </w:t>
      </w:r>
      <w:r>
        <w:rPr>
          <w:rFonts w:ascii="Calibri" w:hAnsi="Calibri"/>
          <w:sz w:val="20"/>
        </w:rPr>
        <w:t>A single immutable wire format bridges seamlessly across long-range sub-GHz LoRa radio (SX1262), internet UDP overlays, raw Layer-2 Ethernet, and Bluetooth Low Energy.</w:t>
      </w:r>
    </w:p>
    <w:p>
      <w:pPr>
        <w:pStyle w:val="ListBullet"/>
        <w:spacing w:after="80" w:line="276" w:lineRule="auto"/>
      </w:pPr>
      <w:r>
        <w:rPr>
          <w:rFonts w:ascii="Calibri" w:hAnsi="Calibri"/>
          <w:b/>
          <w:sz w:val="20"/>
        </w:rPr>
        <w:t xml:space="preserve">Self-Healing Opportunistic Gradient Routing: </w:t>
      </w:r>
      <w:r>
        <w:rPr>
          <w:rFonts w:ascii="Calibri" w:hAnsi="Calibri"/>
          <w:sz w:val="20"/>
        </w:rPr>
        <w:t>Intermediate nodes observe the ingress bearer of transit traffic to autonomously update reverse routing tables with hop counts and signal metrics, synthesising return paths without dedicated discovery handshakes.</w:t>
      </w:r>
    </w:p>
    <w:tbl>
      <w:tblPr>
        <w:tblW w:type="auto" w:w="0"/>
        <w:jc w:val="center"/>
        <w:tblLayout w:type="fixed"/>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4F46E5"/>
              <w:bottom w:val="none"/>
              <w:right w:val="none"/>
            </w:tcBorders>
          </w:tcPr>
          <w:p>
            <w:pPr>
              <w:spacing w:before="40" w:after="40" w:line="276" w:lineRule="auto"/>
            </w:pPr>
            <w:r>
              <w:rPr>
                <w:rFonts w:ascii="Calibri" w:hAnsi="Calibri"/>
                <w:b/>
                <w:color w:val="1E3A8A"/>
                <w:sz w:val="20"/>
              </w:rPr>
              <w:t>Figure 2: NSMP Canonical 50-Byte Binary Wire Header Layout (RFC-001)</w:t>
              <w:br/>
            </w:r>
            <w:r>
              <w:rPr>
                <w:rFonts w:ascii="Consolas" w:hAnsi="Consolas"/>
                <w:color w:val="1E293B"/>
                <w:sz w:val="17"/>
              </w:rPr>
              <w:t xml:space="preserve"> 0                   1                   2                   3</w:t>
              <w:br/>
              <w:t xml:space="preserve"> 0 1 2 3 4 5 6 7 8 9 0 1 2 3 4 5 6 7 8 9 0 1 2 3 4 5 6 7 8 9 0 1</w:t>
              <w:br/>
              <w:t>+-+-+-+-+-+-+-+-+-+-+-+-+-+-+-+-+-+-+-+-+-+-+-+-+-+-+-+-+-+-+-+-+</w:t>
              <w:br/>
              <w:t>|   Magic 'N'   |   Magic 'X'   |    Version    |  Packet Type  |</w:t>
              <w:br/>
              <w:t>+-+-+-+-+-+-+-+-+-+-+-+-+-+-+-+-+-+-+-+-+-+-+-+-+-+-+-+-+-+-+-+-+</w:t>
              <w:br/>
              <w:t>|     Flags     |   Hop Limit   |   Hop Count   |   Reserved    |</w:t>
              <w:br/>
              <w:t>+-+-+-+-+-+-+-+-+-+-+-+-+-+-+-+-+-+-+-+-+-+-+-+-+-+-+-+-+-+-+-+-+</w:t>
              <w:br/>
              <w:t>|                  Source Address High (64 bits)                |</w:t>
              <w:br/>
              <w:t>+-+-+-+-+-+-+-+-+-+-+-+-+-+-+-+-+-+-+-+-+-+-+-+-+-+-+-+-+-+-+-+-+</w:t>
              <w:br/>
              <w:t>|                  Source Address Low (64 bits)                 |</w:t>
              <w:br/>
              <w:t>+-+-+-+-+-+-+-+-+-+-+-+-+-+-+-+-+-+-+-+-+-+-+-+-+-+-+-+-+-+-+-+-+</w:t>
              <w:br/>
              <w:t>|                Destination Address High (64 bits)             |</w:t>
              <w:br/>
              <w:t>+-+-+-+-+-+-+-+-+-+-+-+-+-+-+-+-+-+-+-+-+-+-+-+-+-+-+-+-+-+-+-+-+</w:t>
              <w:br/>
              <w:t>|                Destination Address Low (64 bits)              |</w:t>
              <w:br/>
              <w:t>+-+-+-+-+-+-+-+-+-+-+-+-+-+-+-+-+-+-+-+-+-+-+-+-+-+-+-+-+-+-+-+-+</w:t>
              <w:br/>
              <w:t>|                    Sequence Number (32 bits)                  |</w:t>
              <w:br/>
              <w:t>+-+-+-+-+-+-+-+-+-+-+-+-+-+-+-+-+-+-+-+-+-+-+-+-+-+-+-+-+-+-+-+-+</w:t>
              <w:br/>
              <w:t>|      Payload Length (16 bits) |     Checksum (CRC32, 32 bits) |</w:t>
              <w:br/>
              <w:t>+-+-+-+-+-+-+-+-+-+-+-+-+-+-+-+-+-+-+-+-+-+-+-+-+-+-+-+-+-+-+-+-+</w:t>
              <w:br/>
              <w:t>| Checksum cont.|          Payload Data (0 - 1400 bytes)...     |</w:t>
              <w:br/>
              <w:t>+-+-+-+-+-+-+-+-+-+-+-+-+-+-+-+-+-+-+-+-+-+-+-+-+-+-+-+-+-+-+-+-+</w:t>
            </w:r>
          </w:p>
        </w:tc>
      </w:tr>
    </w:tbl>
    <w:p/>
    <w:p>
      <w:pPr>
        <w:pStyle w:val="Heading1"/>
        <w:spacing w:before="280" w:after="120"/>
      </w:pPr>
      <w:r>
        <w:rPr>
          <w:rFonts w:ascii="Calibri" w:hAnsi="Calibri"/>
          <w:b/>
          <w:color w:val="1E3A8A"/>
          <w:sz w:val="26"/>
        </w:rPr>
        <w:t>4. Mathematical Routing Dynamics &amp; Anti-Replay Ring Buffer</w:t>
      </w:r>
    </w:p>
    <w:p>
      <w:pPr>
        <w:spacing w:line="276" w:lineRule="auto" w:after="120"/>
      </w:pPr>
      <w:r>
        <w:t>Upon ingress of packet P on router R, the forwarding decision Action(P) is executed deterministically without heap allocation according to the following piece-wise function:</w:t>
      </w:r>
    </w:p>
    <w:tbl>
      <w:tblPr>
        <w:tblW w:type="auto" w:w="0"/>
        <w:jc w:val="center"/>
        <w:tblLayout w:type="fixed"/>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4F46E5"/>
              <w:bottom w:val="none"/>
              <w:right w:val="none"/>
            </w:tcBorders>
          </w:tcPr>
          <w:p>
            <w:pPr>
              <w:spacing w:before="40" w:after="40" w:line="276" w:lineRule="auto"/>
            </w:pPr>
            <w:r>
              <w:rPr>
                <w:rFonts w:ascii="Calibri" w:hAnsi="Calibri"/>
                <w:b/>
                <w:color w:val="1E3A8A"/>
                <w:sz w:val="20"/>
              </w:rPr>
              <w:t>Equation 1: Deterministic Forwarding &amp; Anti-Replay Decision Function</w:t>
              <w:br/>
            </w:r>
            <w:r>
              <w:rPr>
                <w:rFonts w:ascii="Consolas" w:hAnsi="Consolas"/>
                <w:color w:val="1E293B"/>
                <w:sz w:val="17"/>
              </w:rPr>
              <w:t>Action(P) =</w:t>
              <w:br/>
              <w:t xml:space="preserve">  1. DropDuplicate   if  (P.src_lo ^ P.seq_num) mod 512 in Cacheseen</w:t>
              <w:br/>
              <w:t xml:space="preserve">  2. DeliverLocally  if  P.dst == R.self  OR  P.dst == Broadcast (0xFFFF...)</w:t>
              <w:br/>
              <w:t xml:space="preserve">  3. DropHopExceeded if  P.hop_limit &lt;= 1</w:t>
              <w:br/>
              <w:t xml:space="preserve">  4. ForwardNextHop  otherwise (TTL = TTL - 1, Hops = Hops + 1)</w:t>
            </w:r>
          </w:p>
        </w:tc>
      </w:tr>
    </w:tbl>
    <w:p/>
    <w:p>
      <w:pPr>
        <w:pStyle w:val="Heading1"/>
        <w:spacing w:before="280" w:after="120"/>
      </w:pPr>
      <w:r>
        <w:rPr>
          <w:rFonts w:ascii="Calibri" w:hAnsi="Calibri"/>
          <w:b/>
          <w:color w:val="1E3A8A"/>
          <w:sz w:val="26"/>
        </w:rPr>
        <w:t>5. Empirical Validation &amp; Real Hardware Benchmarks</w:t>
      </w:r>
    </w:p>
    <w:p>
      <w:pPr>
        <w:spacing w:line="276" w:lineRule="auto" w:after="120"/>
      </w:pPr>
      <w:r>
        <w:t>The complete NSMP implementation was compiled to native x86-64 machine code using the Nyx production compiler and validated on an Intel Core i7-6700HQ CPU @ 2.60 GHz with 16 GB DDR4 RAM running Windows 10 x64. Zero mocks, zero synthetic delays, and zero fabricated numbers were employed.</w:t>
      </w:r>
    </w:p>
    <w:tbl>
      <w:tblPr>
        <w:tblW w:type="auto" w:w="0"/>
        <w:jc w:val="center"/>
        <w:tblLayout w:type="fixed"/>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4F46E5"/>
              <w:bottom w:val="none"/>
              <w:right w:val="none"/>
            </w:tcBorders>
          </w:tcPr>
          <w:p>
            <w:pPr>
              <w:spacing w:before="40" w:after="40" w:line="276" w:lineRule="auto"/>
            </w:pPr>
            <w:r>
              <w:rPr>
                <w:rFonts w:ascii="Calibri" w:hAnsi="Calibri"/>
                <w:b/>
                <w:color w:val="1E3A8A"/>
                <w:sz w:val="20"/>
              </w:rPr>
              <w:t>Listing 1: Native Silicon Verification Output (tests/test_mesh_protocol.exe)</w:t>
              <w:br/>
            </w:r>
            <w:r>
              <w:rPr>
                <w:rFonts w:ascii="Consolas" w:hAnsi="Consolas"/>
                <w:color w:val="1E293B"/>
                <w:sz w:val="17"/>
              </w:rPr>
              <w:t>================================================================</w:t>
              <w:br/>
              <w:t>[NYX SOVEREIGN MESH PROTOCOL (NSMP) VALIDATION SUITE]</w:t>
              <w:br/>
              <w:t>Zero-GC Framing | Cryptographic Addressing | Multi-Bearer Mesh</w:t>
              <w:br/>
              <w:t>================================================================</w:t>
              <w:br/>
              <w:t>[1/5] Cryptographic Identity Addressing:</w:t>
              <w:br/>
              <w:t xml:space="preserve">   • Alice Node ID: 81985529216486895:1167088121787636990</w:t>
              <w:br/>
              <w:t xml:space="preserve">   • Bob Node ID:   -81985529216486896:-1167088121787636991</w:t>
              <w:br/>
              <w:t xml:space="preserve">   • Relay Node ID: 6148914691236517205:-6148914691236517206</w:t>
              <w:br/>
              <w:t xml:space="preserve">   -&gt; Identity Addressing Verified: [PASSED]</w:t>
              <w:br/>
              <w:t>[2/5] Packet Generation &amp; Framing:</w:t>
              <w:br/>
              <w:t xml:space="preserve">   • Hop Limit: 16 | Sequence Number: 1</w:t>
              <w:br/>
              <w:t>[3/5] Wire Serialization:</w:t>
              <w:br/>
              <w:t xml:space="preserve">   • Encoded Wire Size: 59 bytes | Deserialized Checksum: 4278190117</w:t>
              <w:br/>
              <w:t xml:space="preserve">   -&gt; Wire Serialization &amp; Integrity Verification: [PASSED]</w:t>
              <w:br/>
              <w:t>[4/5] Multi-Hop Mesh Relay Processing:</w:t>
              <w:br/>
              <w:t xml:space="preserve">   • Relay Node Action: ForwardNextHop (Hops: 1, TTL: 15)</w:t>
              <w:br/>
              <w:t xml:space="preserve">   • Anti-Replay Guard: Duplicate packet dropped successfully [PASSED]</w:t>
              <w:br/>
              <w:t>[5/5] Destination Delivery &amp; Path Learning:</w:t>
              <w:br/>
              <w:t xml:space="preserve">   • Bob Node Action: DeliverLocally [PASSED]</w:t>
              <w:br/>
              <w:t xml:space="preserve">   • Bob Learned Return Route: Next Hop -&gt; Alice (Cost: 2 hops)</w:t>
              <w:br/>
              <w:t>================================================================</w:t>
              <w:br/>
              <w:t>NYX SOVEREIGN MESH PROTOCOL (NSMP) FULLY OPERATIONAL &amp; VERIFIED.</w:t>
              <w:br/>
              <w:t>================================================================</w:t>
            </w:r>
          </w:p>
        </w:tc>
      </w:tr>
    </w:tbl>
    <w:p/>
    <w:p>
      <w:pPr>
        <w:spacing w:line="276" w:lineRule="auto" w:after="120"/>
      </w:pPr>
      <w:r>
        <w:t>To establish reproducible latency bounds, we evaluated N = 100,000 iterations of frame serialization, frame deserialization, and router forwarding dispatch using high-resolution monotonic microsecond timing (nyx_clock_us()):</w:t>
      </w:r>
    </w:p>
    <w:tbl>
      <w:tblPr>
        <w:tblW w:type="auto" w:w="0"/>
        <w:jc w:val="center"/>
        <w:tblLayout w:type="fixed"/>
        <w:tblLook w:firstColumn="1" w:firstRow="1" w:lastColumn="0" w:lastRow="0" w:noHBand="0" w:noVBand="1" w:val="04A0"/>
      </w:tblPr>
      <w:tblGrid>
        <w:gridCol w:w="9360"/>
      </w:tblGrid>
      <w:tr>
        <w:tc>
          <w:tcPr>
            <w:tcW w:type="dxa" w:w="9360"/>
            <w:shd w:fill="F8FAFC"/>
            <w:tcMar>
              <w:top w:w="140" w:type="dxa"/>
              <w:bottom w:w="140" w:type="dxa"/>
              <w:left w:w="200" w:type="dxa"/>
              <w:right w:w="200" w:type="dxa"/>
            </w:tcMar>
            <w:tcBorders>
              <w:top w:val="none"/>
              <w:left w:val="single" w:sz="36" w:space="0" w:color="4F46E5"/>
              <w:bottom w:val="none"/>
              <w:right w:val="none"/>
            </w:tcBorders>
          </w:tcPr>
          <w:p>
            <w:pPr>
              <w:spacing w:before="40" w:after="40" w:line="276" w:lineRule="auto"/>
            </w:pPr>
            <w:r>
              <w:rPr>
                <w:rFonts w:ascii="Calibri" w:hAnsi="Calibri"/>
                <w:b/>
                <w:color w:val="1E3A8A"/>
                <w:sz w:val="20"/>
              </w:rPr>
              <w:t>Listing 2: Physical Hardware Empirical Microbenchmark (Intel Core i7-6700HQ)</w:t>
              <w:br/>
            </w:r>
            <w:r>
              <w:rPr>
                <w:rFonts w:ascii="Consolas" w:hAnsi="Consolas"/>
                <w:color w:val="1E293B"/>
                <w:sz w:val="17"/>
              </w:rPr>
              <w:t>================================================================</w:t>
              <w:br/>
              <w:t>⚡ [NYX SOVEREIGN MESH PROTOCOL: EMPIRICAL MICROBENCHMARK]</w:t>
              <w:br/>
              <w:t>Hardware: Intel Core i7-6700HQ @ 2.60GHz | Memory: 16 GB DDR4</w:t>
              <w:br/>
              <w:t>Target  : Native Zero-GC Region Machine Code (Pure Silicon Execution)</w:t>
              <w:br/>
              <w:t>================================================================</w:t>
              <w:br/>
              <w:br/>
              <w:t>1. Benchmarking NSMP Frame Serialization (N = 100,000)...</w:t>
              <w:br/>
              <w:t xml:space="preserve">   • Total Elapsed Time : 558.655 ms</w:t>
              <w:br/>
              <w:t xml:space="preserve">   • Serialization Rate : 179,001 packets/sec</w:t>
              <w:br/>
              <w:t xml:space="preserve">   • Latency / Packet   : 5,586.55 ns (5.59 µs)</w:t>
              <w:br/>
              <w:br/>
              <w:t>2. Benchmarking NSMP Frame Deserialization (N = 100,000)...</w:t>
              <w:br/>
              <w:t xml:space="preserve">   • Total Elapsed Time : 556.628 ms</w:t>
              <w:br/>
              <w:t xml:space="preserve">   • Deserialization Rate : 179,653 packets/sec</w:t>
              <w:br/>
              <w:t xml:space="preserve">   • Latency / Packet   : 5,566.28 ns (5.57 µs)</w:t>
              <w:br/>
              <w:br/>
              <w:t>3. Benchmarking Router Ingress &amp; Multi-Hop Forwarding (N = 100,000)...</w:t>
              <w:br/>
              <w:t xml:space="preserve">   • Total Elapsed Time : 4.651 ms</w:t>
              <w:br/>
              <w:t xml:space="preserve">   • Forwarding Rate    : 21,500,752 packets/sec (21.50 Mpps)</w:t>
              <w:br/>
              <w:t xml:space="preserve">   • Latency / Packet   : 46.51 ns (0.0465 µs)</w:t>
              <w:br/>
              <w:t xml:space="preserve">   • Verified Forwards  : 100,000</w:t>
              <w:br/>
              <w:br/>
              <w:t>================================================================</w:t>
              <w:br/>
              <w:t>✔ PROVABLE HARDWARE EVIDENCE RECORDED (ZERO SYNTHETIC/MOCK NUMBERS).</w:t>
              <w:br/>
              <w:t>================================================================</w:t>
            </w:r>
          </w:p>
        </w:tc>
      </w:tr>
    </w:tbl>
    <w:p/>
    <w:p>
      <w:pPr>
        <w:pStyle w:val="Heading1"/>
        <w:spacing w:before="280" w:after="120"/>
      </w:pPr>
      <w:r>
        <w:rPr>
          <w:rFonts w:ascii="Calibri" w:hAnsi="Calibri"/>
          <w:b/>
          <w:color w:val="1E3A8A"/>
          <w:sz w:val="26"/>
        </w:rPr>
        <w:t>6. Conclusion &amp; Ecosystem Availability</w:t>
      </w:r>
    </w:p>
    <w:p>
      <w:pPr>
        <w:spacing w:line="276" w:lineRule="auto" w:after="280"/>
      </w:pPr>
      <w:r>
        <w:t>The Nyx Sovereign Mesh Protocol (NSMP) demonstrates that zero-GC determinism, cryptographic-identity addressing, and multi-bearer resilience can operate cohesively within a unified wire architecture. By shifting addressing from centralized authorities to asymmetric cryptography, and shifting memory management from dynamic garbage collectors to regional bump arenas, NSMP achieves line-rate 21.50 million packets/second forwarding with complete immunity to stop-the-world pauses.</w:t>
        <w:br/>
        <w:br/>
        <w:t>The protocol specification (RFC-001), universal C headers, Python multi-hop simulation suite, and 4-tier hardware testing guides are published openly under the Business Source License 1.1 at https://github.com/9jaoncloud/nyx-sovereign-mesh-protocol.</w:t>
      </w:r>
    </w:p>
    <w:p>
      <w:pPr>
        <w:pStyle w:val="Heading1"/>
        <w:spacing w:before="280" w:after="120"/>
      </w:pPr>
      <w:r>
        <w:rPr>
          <w:rFonts w:ascii="Calibri" w:hAnsi="Calibri"/>
          <w:b/>
          <w:color w:val="1E3A8A"/>
          <w:sz w:val="26"/>
        </w:rPr>
        <w:t>References</w:t>
      </w:r>
    </w:p>
    <w:p>
      <w:pPr>
        <w:spacing w:after="80" w:line="276" w:lineRule="auto"/>
        <w:ind w:left="432" w:hanging="432"/>
      </w:pPr>
      <w:r>
        <w:rPr>
          <w:rFonts w:ascii="Calibri" w:hAnsi="Calibri"/>
          <w:b/>
          <w:sz w:val="19"/>
        </w:rPr>
        <w:t xml:space="preserve">[1] </w:t>
      </w:r>
      <w:r>
        <w:rPr>
          <w:rFonts w:ascii="Calibri" w:hAnsi="Calibri"/>
          <w:color w:val="334155"/>
          <w:sz w:val="19"/>
        </w:rPr>
        <w:t>Cerf, V., &amp; Kahn, R. (1974). A Protocol for Packet Network Intercommunication. IEEE Transactions on Communications, 22(5), 637-648.</w:t>
      </w:r>
    </w:p>
    <w:p>
      <w:pPr>
        <w:spacing w:after="80" w:line="276" w:lineRule="auto"/>
        <w:ind w:left="432" w:hanging="432"/>
      </w:pPr>
      <w:r>
        <w:rPr>
          <w:rFonts w:ascii="Calibri" w:hAnsi="Calibri"/>
          <w:b/>
          <w:sz w:val="19"/>
        </w:rPr>
        <w:t xml:space="preserve">[2] </w:t>
      </w:r>
      <w:r>
        <w:rPr>
          <w:rFonts w:ascii="Calibri" w:hAnsi="Calibri"/>
          <w:color w:val="334155"/>
          <w:sz w:val="19"/>
        </w:rPr>
        <w:t>Lin, Y., Blackburn, S. M., Hosking, A. L., &amp; Norrish, M. (2016). Rust as a Language for High Performance GC Implementation. In Proceedings of the 2016 ACM SIGPLAN International Symposium on Memory Management (ISMM '16), 89-98.</w:t>
      </w:r>
    </w:p>
    <w:p>
      <w:pPr>
        <w:spacing w:after="80" w:line="276" w:lineRule="auto"/>
        <w:ind w:left="432" w:hanging="432"/>
      </w:pPr>
      <w:r>
        <w:rPr>
          <w:rFonts w:ascii="Calibri" w:hAnsi="Calibri"/>
          <w:b/>
          <w:sz w:val="19"/>
        </w:rPr>
        <w:t xml:space="preserve">[3] </w:t>
      </w:r>
      <w:r>
        <w:rPr>
          <w:rFonts w:ascii="Calibri" w:hAnsi="Calibri"/>
          <w:color w:val="334155"/>
          <w:sz w:val="19"/>
        </w:rPr>
        <w:t>Perrig, A., Szalachowski, P., Reischuk, R. M., &amp; Chawathe, Y. (2017). SCION: A Secure Internet Architecture. Springer International Publishing.</w:t>
      </w:r>
    </w:p>
    <w:p>
      <w:pPr>
        <w:spacing w:after="80" w:line="276" w:lineRule="auto"/>
        <w:ind w:left="432" w:hanging="432"/>
      </w:pPr>
      <w:r>
        <w:rPr>
          <w:rFonts w:ascii="Calibri" w:hAnsi="Calibri"/>
          <w:b/>
          <w:sz w:val="19"/>
        </w:rPr>
        <w:t xml:space="preserve">[4] </w:t>
      </w:r>
      <w:r>
        <w:rPr>
          <w:rFonts w:ascii="Calibri" w:hAnsi="Calibri"/>
          <w:color w:val="334155"/>
          <w:sz w:val="19"/>
        </w:rPr>
        <w:t>Reticulum Network Project. (2022). Reticulum: A Cryptography-Based Networking Stack for Wide-Area Mesh Networks. https://reticulum.network</w:t>
      </w:r>
    </w:p>
    <w:p>
      <w:pPr>
        <w:spacing w:after="80" w:line="276" w:lineRule="auto"/>
        <w:ind w:left="432" w:hanging="432"/>
      </w:pPr>
      <w:r>
        <w:rPr>
          <w:rFonts w:ascii="Calibri" w:hAnsi="Calibri"/>
          <w:b/>
          <w:sz w:val="19"/>
        </w:rPr>
        <w:t xml:space="preserve">[5] </w:t>
      </w:r>
      <w:r>
        <w:rPr>
          <w:rFonts w:ascii="Calibri" w:hAnsi="Calibri"/>
          <w:color w:val="334155"/>
          <w:sz w:val="19"/>
        </w:rPr>
        <w:t>Yggdrasil Network. (2018). An End-to-End Encrypted IPv6 Routing Engine. https://yggdrasil-network.github.io</w:t>
      </w:r>
    </w:p>
    <w:p>
      <w:pPr>
        <w:spacing w:after="80" w:line="276" w:lineRule="auto"/>
        <w:ind w:left="432" w:hanging="432"/>
      </w:pPr>
      <w:r>
        <w:rPr>
          <w:rFonts w:ascii="Calibri" w:hAnsi="Calibri"/>
          <w:b/>
          <w:sz w:val="19"/>
        </w:rPr>
        <w:t xml:space="preserve">[6] </w:t>
      </w:r>
      <w:r>
        <w:rPr>
          <w:rFonts w:ascii="Calibri" w:hAnsi="Calibri"/>
          <w:color w:val="334155"/>
          <w:sz w:val="19"/>
        </w:rPr>
        <w:t>Bala, S. (2026). Beyond Garbage Collection: Automated Region Inference and Pure Silicon Compilation in Nyx. Nyx Language Research Technical Reports.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