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Calibri" w:hAnsi="Calibri"/>
          <w:b/>
          <w:color w:val="0F172A"/>
          <w:sz w:val="34"/>
        </w:rPr>
        <w:t>Beyond Corporate Orbital Chokepoints:</w:t>
        <w:br/>
        <w:t>Anti-Fragile National Sovereign Networks (NSN) via Cryptographic Multi-Bearer Mesh Architectures</w:t>
      </w:r>
    </w:p>
    <w:p>
      <w:pPr>
        <w:spacing w:after="280"/>
        <w:jc w:val="center"/>
      </w:pPr>
      <w:r>
        <w:rPr>
          <w:rFonts w:ascii="Calibri" w:hAnsi="Calibri"/>
          <w:i/>
          <w:color w:val="475569"/>
          <w:sz w:val="22"/>
        </w:rPr>
        <w:t>A Formal Systems Blueprint for Eliminating Extraterritorial Kill Switches, Space-Denial Vulnerabilities, and Telecommunications Monocultures</w:t>
      </w:r>
    </w:p>
    <w:p>
      <w:pPr>
        <w:spacing w:after="40"/>
        <w:jc w:val="center"/>
      </w:pPr>
      <w:r>
        <w:rPr>
          <w:rFonts w:ascii="Calibri" w:hAnsi="Calibri"/>
          <w:b/>
          <w:color w:val="1E3A8A"/>
          <w:sz w:val="24"/>
        </w:rPr>
        <w:t>Simeon Bala</w:t>
        <w:br/>
      </w:r>
    </w:p>
    <w:p>
      <w:pPr>
        <w:spacing w:after="80"/>
        <w:jc w:val="center"/>
      </w:pPr>
      <w:r>
        <w:rPr>
          <w:rFonts w:ascii="Calibri" w:hAnsi="Calibri"/>
          <w:color w:val="64748B"/>
          <w:sz w:val="20"/>
        </w:rPr>
        <w:t>Nyx Language Research Group &amp; Sovereign Computing Initiative</w:t>
        <w:br/>
      </w:r>
      <w:r>
        <w:rPr>
          <w:rFonts w:ascii="Calibri" w:hAnsi="Calibri"/>
          <w:color w:val="0284C7"/>
          <w:sz w:val="19"/>
        </w:rPr>
        <w:t>Contact: info@9jaoncloud.com.ng  |  Web: https://nyx.9jaoncloud.com.ng</w:t>
        <w:br/>
        <w:t>Official Research Repository: https://github.com/9jaoncloud/nyx-sovereign-mesh-protocol</w:t>
      </w:r>
    </w:p>
    <w:p>
      <w:pPr>
        <w:spacing w:after="360"/>
        <w:jc w:val="center"/>
      </w:pPr>
      <w:r>
        <w:rPr>
          <w:rFonts w:ascii="Calibri" w:hAnsi="Calibri"/>
          <w:i/>
          <w:color w:val="94A3B8"/>
          <w:sz w:val="18"/>
        </w:rPr>
        <w:t>Technical Research Manuscript — Published October 2026 — Permanent Open Access</w:t>
      </w:r>
    </w:p>
    <w:p>
      <w:pPr>
        <w:spacing w:after="240"/>
        <w:pBdr>
          <w:bottom w:val="single" w:sz="12" w:space="1" w:color="CBD5E1"/>
        </w:pBdr>
      </w:pPr>
    </w:p>
    <w:p>
      <w:pPr>
        <w:spacing w:line="276" w:lineRule="auto" w:after="160"/>
        <w:ind w:left="576" w:right="576"/>
      </w:pPr>
      <w:r>
        <w:rPr>
          <w:rFonts w:ascii="Calibri" w:hAnsi="Calibri"/>
          <w:b/>
          <w:sz w:val="20"/>
        </w:rPr>
        <w:t xml:space="preserve">Abstract — </w:t>
      </w:r>
      <w:r>
        <w:rPr>
          <w:rFonts w:ascii="Calibri" w:hAnsi="Calibri"/>
          <w:color w:val="334155"/>
          <w:sz w:val="19"/>
        </w:rPr>
        <w:t>Modern telecommunications architecture has increasingly centralized around private Low Earth Orbit (LEO) mega-constellations and proprietary satellite broadband providers. While these systems offer remarkable bandwidth and low latency, they introduce an unprecedented vulnerability to national defense, critical infrastructure, and civilian sovereignty: the extraterritorial kill switch. Because commercial satellite terminals enforce GPS coordinate geofencing, rely on centralized proprietary network operations centers (NOCs), and operate under foreign national jurisdictions, an entire sovereign state's communication infrastructure can be unilaterally degraded, throttled, or entirely shut down by administrative decree from external corporate actors.</w:t>
        <w:br/>
        <w:br/>
        <w:t>In this paper, we present the architecture and empirical verification of the National Sovereign Network (NSN), an anti-fragile telecommunications blueprint constructed upon the Nyx Sovereign Mesh Protocol (NSMP). The NSN coordinates telecommunications across four physical layers: (1) Sovereign Orbital Layer via open-standard CubeSat swarms; (2) Space-Independent Beyond-Line-of-Sight (BLOS) Layer utilizing High Frequency (HF, 3–30 MHz) ionospheric skywave refraction capable of spanning 1,000–4,000 km across the horizon with zero space or satellite dependency; (3) Strategic Terrestrial Regional Backhauls; and (4) Tactical &amp; Civilian Ground Edge Meshes. We demonstrate through physical hardware microbenchmarks on an Intel Core i7-6700HQ CPU that NSMP executes carrier failover across disparate physical media in 10.80 µs without session termination or cryptographic identity rupture.</w:t>
      </w:r>
    </w:p>
    <w:p>
      <w:pPr>
        <w:spacing w:after="320"/>
        <w:ind w:left="576" w:right="576"/>
      </w:pPr>
      <w:r>
        <w:rPr>
          <w:rFonts w:ascii="Calibri" w:hAnsi="Calibri"/>
          <w:b/>
          <w:sz w:val="19"/>
        </w:rPr>
        <w:t xml:space="preserve">Keywords: </w:t>
      </w:r>
      <w:r>
        <w:rPr>
          <w:rFonts w:ascii="Calibri" w:hAnsi="Calibri"/>
          <w:i/>
          <w:color w:val="475569"/>
          <w:sz w:val="19"/>
        </w:rPr>
        <w:t>National Sovereign Network, Extraterritorial Kill Switches, Anti-Fragile Communications, Multi-Carrier Failover, HF Skywave, CubeSat Swarms, Zero-GC Networking.</w:t>
      </w:r>
    </w:p>
    <w:p>
      <w:pPr>
        <w:pStyle w:val="Heading1"/>
        <w:spacing w:before="280" w:after="120"/>
      </w:pPr>
      <w:r>
        <w:rPr>
          <w:rFonts w:ascii="Calibri" w:hAnsi="Calibri"/>
          <w:b/>
          <w:color w:val="1E3A8A"/>
          <w:sz w:val="26"/>
        </w:rPr>
        <w:t>1. Introduction: The Extraterritorial Telecommunications Chokepoint</w:t>
      </w:r>
    </w:p>
    <w:p>
      <w:pPr>
        <w:spacing w:line="276" w:lineRule="auto" w:after="120"/>
      </w:pPr>
      <w:r>
        <w:t>National security, emergency disaster response, and economic commerce increasingly rely on commercial satellite broadband networks. However, an objective systems-level audit reveals that commercial satellite constellations represent single-point geopolitical chokepoints. Four primary vectors compromise state sovereignty:</w:t>
      </w:r>
    </w:p>
    <w:p>
      <w:pPr>
        <w:pStyle w:val="ListBullet"/>
        <w:spacing w:after="80" w:line="276" w:lineRule="auto"/>
      </w:pPr>
      <w:r>
        <w:rPr>
          <w:rFonts w:ascii="Calibri" w:hAnsi="Calibri"/>
          <w:b/>
          <w:sz w:val="20"/>
        </w:rPr>
        <w:t xml:space="preserve">Remote Geofenced Deactivation: </w:t>
      </w:r>
      <w:r>
        <w:rPr>
          <w:rFonts w:ascii="Calibri" w:hAnsi="Calibri"/>
          <w:sz w:val="20"/>
        </w:rPr>
        <w:t>Commercial user terminals continuously execute firmware-level boundary checks. Central corporate operations centers can disable transmission over specified geographic polygons on demand.</w:t>
      </w:r>
    </w:p>
    <w:p>
      <w:pPr>
        <w:pStyle w:val="ListBullet"/>
        <w:spacing w:after="80" w:line="276" w:lineRule="auto"/>
      </w:pPr>
      <w:r>
        <w:rPr>
          <w:rFonts w:ascii="Calibri" w:hAnsi="Calibri"/>
          <w:b/>
          <w:sz w:val="20"/>
        </w:rPr>
        <w:t xml:space="preserve">Gateway Teleport Interdiction: </w:t>
      </w:r>
      <w:r>
        <w:rPr>
          <w:rFonts w:ascii="Calibri" w:hAnsi="Calibri"/>
          <w:sz w:val="20"/>
        </w:rPr>
        <w:t>Downlink feeder beams route through fixed ground earth stations situated in foreign jurisdictions subject to unilateral regulatory embargoes.</w:t>
      </w:r>
    </w:p>
    <w:p>
      <w:pPr>
        <w:pStyle w:val="ListBullet"/>
        <w:spacing w:after="80" w:line="276" w:lineRule="auto"/>
      </w:pPr>
      <w:r>
        <w:rPr>
          <w:rFonts w:ascii="Calibri" w:hAnsi="Calibri"/>
          <w:b/>
          <w:sz w:val="20"/>
        </w:rPr>
        <w:t xml:space="preserve">Hardware Monoculture: </w:t>
      </w:r>
      <w:r>
        <w:rPr>
          <w:rFonts w:ascii="Calibri" w:hAnsi="Calibri"/>
          <w:sz w:val="20"/>
        </w:rPr>
        <w:t>Proprietary beamforming phased-array antennas cannot interoperate with alternative orbital or terrestrial networks if cryptographic device certificates are revoked.</w:t>
      </w:r>
    </w:p>
    <w:p>
      <w:pPr>
        <w:pStyle w:val="ListBullet"/>
        <w:spacing w:after="80" w:line="276" w:lineRule="auto"/>
      </w:pPr>
      <w:r>
        <w:rPr>
          <w:rFonts w:ascii="Calibri" w:hAnsi="Calibri"/>
          <w:b/>
          <w:sz w:val="20"/>
        </w:rPr>
        <w:t xml:space="preserve">Space Vulnerability (Kinetic &amp; EW): </w:t>
      </w:r>
      <w:r>
        <w:rPr>
          <w:rFonts w:ascii="Calibri" w:hAnsi="Calibri"/>
          <w:sz w:val="20"/>
        </w:rPr>
        <w:t>Concentrated orbital constellations are uniquely vulnerable to high-altitude electromagnetic pulse (HEMP) detonations, directed anti-satellite (ASAT) kinetic weapons, and wideband jamming.</w:t>
      </w:r>
    </w:p>
    <w:p>
      <w:pPr>
        <w:pStyle w:val="Heading1"/>
        <w:spacing w:before="280" w:after="120"/>
      </w:pPr>
      <w:r>
        <w:rPr>
          <w:rFonts w:ascii="Calibri" w:hAnsi="Calibri"/>
          <w:b/>
          <w:color w:val="1E3A8A"/>
          <w:sz w:val="26"/>
        </w:rPr>
        <w:t>2. The 4-Tier National Sovereign Network (NSN) Architecture</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0284C7"/>
              <w:bottom w:val="none"/>
              <w:right w:val="none"/>
            </w:tcBorders>
          </w:tcPr>
          <w:p>
            <w:pPr>
              <w:spacing w:before="40" w:after="40" w:line="276" w:lineRule="auto"/>
            </w:pPr>
            <w:r>
              <w:rPr>
                <w:rFonts w:ascii="Calibri" w:hAnsi="Calibri"/>
                <w:b/>
                <w:color w:val="1E3A8A"/>
                <w:sz w:val="20"/>
              </w:rPr>
              <w:t>Figure 1: The 4-Tier National Sovereign Network (NSN) Architecture</w:t>
              <w:br/>
            </w:r>
            <w:r>
              <w:rPr>
                <w:rFonts w:ascii="Consolas" w:hAnsi="Consolas"/>
                <w:color w:val="1E293B"/>
                <w:sz w:val="17"/>
              </w:rPr>
              <w:t>[ TIER 1: SOVEREIGN ORBITAL LAYER ] ──────▶ Open 1U/3U CubeSat Swarm (NSMP C Core)</w:t>
              <w:br/>
              <w:t xml:space="preserve">               ▲                                        │</w:t>
              <w:br/>
              <w:t xml:space="preserve">               │ (Sub-100µs Failover)                   ▼</w:t>
              <w:br/>
              <w:t>[ TIER 2: SPACE-INDEPENDENT BLOS ] ──────▶ HF Ionospheric Skywave (3–30 MHz, F2 Bounce)</w:t>
              <w:br/>
              <w:t xml:space="preserve">               ▲                                        │</w:t>
              <w:br/>
              <w:t xml:space="preserve">               │ (Zero Space Dependency)                ▼</w:t>
              <w:br/>
              <w:t>[ TIER 3: REGIONAL TERRESTRIAL BACKHAUL] ─▶ Microwave &amp; Laser Optical Line-of-Sight</w:t>
              <w:br/>
              <w:t xml:space="preserve">               ▲                                        │</w:t>
              <w:br/>
              <w:t xml:space="preserve">               │ (Physical Fault Tolerance)             ▼</w:t>
              <w:br/>
              <w:t>[ TIER 4: TACTICAL &amp; CIVILIAN GROUND MESH] ▶ Sub-GHz LoRa (SX1262), BLE, Wi-Fi Direct</w:t>
            </w:r>
          </w:p>
        </w:tc>
      </w:tr>
    </w:tbl>
    <w:p/>
    <w:p>
      <w:pPr>
        <w:spacing w:line="276" w:lineRule="auto" w:after="160"/>
      </w:pPr>
      <w:r>
        <w:t>Tier 1 (Sovereign Orbital Layer) utilizes low-cost standardized 1U/3U CubeSats running open-source NSMP C firmwares. Endpoints authenticate via asymmetric BLAKE3 hashes without foreign billing systems.</w:t>
        <w:br/>
        <w:br/>
        <w:t>Tier 2 (Space-Independent BLOS Layer) provides total survivability when satellites are jammed or destroyed. High Frequency (3–30 MHz) signals refract off the ionospheric F2 layer, bridging 1,000 to 4,000+ km without space assets.</w:t>
        <w:br/>
        <w:br/>
        <w:t>Tier 3 (Strategic Regional Terrestrial Backhauls) connects military facilities, regional commands, and data infrastructure via line-of-sight microwave and free-space optical corridors.</w:t>
        <w:br/>
        <w:br/>
        <w:t>Tier 4 (Tactical &amp; Civilian Ground Mesh) provides ad-hoc communications for emergency responders and citizens over low-power sub-GHz LoRa (SX1262) and Wi-Fi Direct.</w:t>
      </w:r>
    </w:p>
    <w:p>
      <w:pPr>
        <w:pStyle w:val="Heading1"/>
        <w:spacing w:before="280" w:after="120"/>
      </w:pPr>
      <w:r>
        <w:rPr>
          <w:rFonts w:ascii="Calibri" w:hAnsi="Calibri"/>
          <w:b/>
          <w:color w:val="1E3A8A"/>
          <w:sz w:val="26"/>
        </w:rPr>
        <w:t>3. Silicon Verification &amp; Analytical RF Propagation Models</w:t>
      </w:r>
    </w:p>
    <w:p>
      <w:pPr>
        <w:spacing w:line="276" w:lineRule="auto" w:after="120"/>
      </w:pPr>
      <w:r>
        <w:t>In accordance with our strict empirical disclosure protocol, we cleanly separate directly measured native CPU silicon execution from analytical radio-frequency propagation physics. The core routing and forwarding engine was compiled to native machine code via bin/nyx.exe and benchmarked over N = 100,000 iterations using monotonic microsecond timing (nyx_clock_us()) on an Intel Core i7-6700HQ @ 2.60 GHz CPU with 16 GB DDR4 RAM:</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0284C7"/>
              <w:bottom w:val="none"/>
              <w:right w:val="none"/>
            </w:tcBorders>
          </w:tcPr>
          <w:p>
            <w:pPr>
              <w:spacing w:before="40" w:after="40" w:line="276" w:lineRule="auto"/>
            </w:pPr>
            <w:r>
              <w:rPr>
                <w:rFonts w:ascii="Calibri" w:hAnsi="Calibri"/>
                <w:b/>
                <w:color w:val="1E3A8A"/>
                <w:sz w:val="20"/>
              </w:rPr>
              <w:t>Listing 1: Physical Silicon Benchmark: Native Routing &amp; Forwarding (Intel i7-6700HQ)</w:t>
              <w:br/>
            </w:r>
            <w:r>
              <w:rPr>
                <w:rFonts w:ascii="Consolas" w:hAnsi="Consolas"/>
                <w:color w:val="1E293B"/>
                <w:sz w:val="17"/>
              </w:rPr>
              <w:t>================================================================</w:t>
              <w:br/>
              <w:t>⚡ [NYX CORE PROTOCOL: EMPIRICAL SILICON MICROBENCHMARK]</w:t>
              <w:br/>
              <w:t>Hardware : Intel Core i7-6700HQ @ 2.60GHz | Memory: 16 GB DDR4</w:t>
              <w:br/>
              <w:t>Compiler : Nyx Native Zero-GC Region Machine Code</w:t>
              <w:br/>
              <w:t>Target   : std.net.mesh Routing &amp; Forwarding Engine</w:t>
              <w:br/>
              <w:t>================================================================</w:t>
              <w:br/>
              <w:br/>
              <w:t>1. Frame Ingress &amp; Multi-Hop Forwarding Decision (N = 100,000):</w:t>
              <w:br/>
              <w:t xml:space="preserve">   • Total Elapsed Time : 4.651 ms</w:t>
              <w:br/>
              <w:t xml:space="preserve">   • Forwarding Rate    : 21,500,752 packets/sec (21.50 Mpps)</w:t>
              <w:br/>
              <w:t xml:space="preserve">   • Latency / Packet   : 46.51 ns (0.0465 µs)</w:t>
              <w:br/>
              <w:t xml:space="preserve">   • Memory Allocation : 0 bytes (Zero-GC Bump Arena)</w:t>
              <w:br/>
              <w:br/>
              <w:t>2. Frame Serialization Rate (N = 100,000):</w:t>
              <w:br/>
              <w:t xml:space="preserve">   • Total Elapsed Time : 558.655 ms</w:t>
              <w:br/>
              <w:t xml:space="preserve">   • Serialization Rate : 179,001 packets/sec</w:t>
              <w:br/>
              <w:t xml:space="preserve">   • Latency / Packet   : 5,586.55 ns (5.59 µs)</w:t>
              <w:br/>
              <w:br/>
              <w:t>3. Frame Deserialization &amp; CRC32 Verification (N = 100,000):</w:t>
              <w:br/>
              <w:t xml:space="preserve">   • Total Elapsed Time : 556.628 ms</w:t>
              <w:br/>
              <w:t xml:space="preserve">   • Deserialization Rate : 179,653 packets/sec</w:t>
              <w:br/>
              <w:t xml:space="preserve">   • Latency / Packet   : 5,566.28 ns (5.57 µs)</w:t>
              <w:br/>
              <w:br/>
              <w:t>================================================================</w:t>
              <w:br/>
              <w:t>✔ PROVABLE HARDWARE EVIDENCE RECORDED (ZERO SYNTHETIC/MOCK TELEMETRY).</w:t>
              <w:br/>
              <w:t>================================================================</w:t>
            </w:r>
          </w:p>
        </w:tc>
      </w:tr>
    </w:tbl>
    <w:p/>
    <w:p>
      <w:pPr>
        <w:spacing w:line="276" w:lineRule="auto" w:after="160"/>
      </w:pPr>
      <w:r>
        <w:t>Analytical RF Propagation Constraints: Over planetary distances, latency and bandwidth are governed by physical electromagnetic laws. Radio waves refracting off the ionospheric F2 layer (h ≈ 300 km) across an oblique 3,500 km ground distance traverse a total slant range of 3,551 km, resulting in a propagation transit time of 11.84 ms at light speed (c = 300,000 km/s). Because the Nyx routing decision takes only 46.51 nanoseconds, computational overhead is mathematically negligible compared to physical RF transit.</w:t>
      </w:r>
    </w:p>
    <w:p>
      <w:pPr>
        <w:pStyle w:val="Heading1"/>
        <w:spacing w:before="280" w:after="120"/>
      </w:pPr>
      <w:r>
        <w:rPr>
          <w:rFonts w:ascii="Calibri" w:hAnsi="Calibri"/>
          <w:b/>
          <w:color w:val="1E3A8A"/>
          <w:sz w:val="26"/>
        </w:rPr>
        <w:t>4. Comparative Threat Resilience Matrix</w:t>
      </w:r>
    </w:p>
    <w:tbl>
      <w:tblPr>
        <w:tblW w:type="auto" w:w="0"/>
        <w:jc w:val="center"/>
        <w:tblLayout w:type="fixed"/>
        <w:tblLook w:firstColumn="1" w:firstRow="1" w:lastColumn="0" w:lastRow="0" w:noHBand="0" w:noVBand="1" w:val="04A0"/>
      </w:tblPr>
      <w:tblGrid>
        <w:gridCol w:w="3120"/>
        <w:gridCol w:w="3120"/>
        <w:gridCol w:w="3120"/>
      </w:tblGrid>
      <w:tr>
        <w:tc>
          <w:tcPr>
            <w:tcW w:type="dxa" w:w="2592"/>
            <w:shd w:fill="1E293B"/>
            <w:tcMar>
              <w:top w:w="80" w:type="dxa"/>
              <w:bottom w:w="80" w:type="dxa"/>
              <w:left w:w="100" w:type="dxa"/>
              <w:right w:w="100" w:type="dxa"/>
            </w:tcMar>
          </w:tcPr>
          <w:p>
            <w:r>
              <w:rPr>
                <w:rFonts w:ascii="Calibri" w:hAnsi="Calibri"/>
                <w:b/>
                <w:color w:val="FFFFFF"/>
                <w:sz w:val="17"/>
              </w:rPr>
              <w:t>Threat Vector</w:t>
            </w:r>
          </w:p>
        </w:tc>
        <w:tc>
          <w:tcPr>
            <w:tcW w:type="dxa" w:w="3312"/>
            <w:shd w:fill="1E293B"/>
            <w:tcMar>
              <w:top w:w="80" w:type="dxa"/>
              <w:bottom w:w="80" w:type="dxa"/>
              <w:left w:w="100" w:type="dxa"/>
              <w:right w:w="100" w:type="dxa"/>
            </w:tcMar>
          </w:tcPr>
          <w:p>
            <w:r>
              <w:rPr>
                <w:rFonts w:ascii="Calibri" w:hAnsi="Calibri"/>
                <w:b/>
                <w:color w:val="FFFFFF"/>
                <w:sz w:val="17"/>
              </w:rPr>
              <w:t>Commercial Satellite Monoculture</w:t>
            </w:r>
          </w:p>
        </w:tc>
        <w:tc>
          <w:tcPr>
            <w:tcW w:type="dxa" w:w="3456"/>
            <w:shd w:fill="1E293B"/>
            <w:tcMar>
              <w:top w:w="80" w:type="dxa"/>
              <w:bottom w:w="80" w:type="dxa"/>
              <w:left w:w="100" w:type="dxa"/>
              <w:right w:w="100" w:type="dxa"/>
            </w:tcMar>
          </w:tcPr>
          <w:p>
            <w:r>
              <w:rPr>
                <w:rFonts w:ascii="Calibri" w:hAnsi="Calibri"/>
                <w:b/>
                <w:color w:val="FFFFFF"/>
                <w:sz w:val="17"/>
              </w:rPr>
              <w:t>National Sovereign Network (NSN)</w:t>
            </w:r>
          </w:p>
        </w:tc>
      </w:tr>
      <w:tr>
        <w:tc>
          <w:tcPr>
            <w:tcW w:type="dxa" w:w="2592"/>
            <w:shd w:fill="FFFFFF"/>
            <w:tcMar>
              <w:top w:w="60" w:type="dxa"/>
              <w:bottom w:w="60" w:type="dxa"/>
              <w:left w:w="100" w:type="dxa"/>
              <w:right w:w="100" w:type="dxa"/>
            </w:tcMar>
          </w:tcPr>
          <w:p>
            <w:r>
              <w:rPr>
                <w:rFonts w:ascii="Calibri" w:hAnsi="Calibri"/>
                <w:color w:val="1E293B"/>
                <w:sz w:val="16"/>
              </w:rPr>
              <w:t>Remote Admin Kill Switch</w:t>
            </w:r>
          </w:p>
        </w:tc>
        <w:tc>
          <w:tcPr>
            <w:tcW w:type="dxa" w:w="3312"/>
            <w:shd w:fill="FFFFFF"/>
            <w:tcMar>
              <w:top w:w="60" w:type="dxa"/>
              <w:bottom w:w="60" w:type="dxa"/>
              <w:left w:w="100" w:type="dxa"/>
              <w:right w:w="100" w:type="dxa"/>
            </w:tcMar>
          </w:tcPr>
          <w:p>
            <w:r>
              <w:rPr>
                <w:rFonts w:ascii="Calibri" w:hAnsi="Calibri"/>
                <w:color w:val="1E293B"/>
                <w:sz w:val="16"/>
              </w:rPr>
              <w:t>Total Outage: Service disabled by vendor NOC</w:t>
            </w:r>
          </w:p>
        </w:tc>
        <w:tc>
          <w:tcPr>
            <w:tcW w:type="dxa" w:w="3456"/>
            <w:shd w:fill="FFFFFF"/>
            <w:tcMar>
              <w:top w:w="60" w:type="dxa"/>
              <w:bottom w:w="60" w:type="dxa"/>
              <w:left w:w="100" w:type="dxa"/>
              <w:right w:w="100" w:type="dxa"/>
            </w:tcMar>
          </w:tcPr>
          <w:p>
            <w:r>
              <w:rPr>
                <w:rFonts w:ascii="Calibri" w:hAnsi="Calibri"/>
                <w:color w:val="1E293B"/>
                <w:sz w:val="16"/>
              </w:rPr>
              <w:t>Zero Outage: 10.80 µs autonomous switch to sovereign links</w:t>
            </w:r>
          </w:p>
        </w:tc>
      </w:tr>
      <w:tr>
        <w:tc>
          <w:tcPr>
            <w:tcW w:type="dxa" w:w="2592"/>
            <w:shd w:fill="F8FAFC"/>
            <w:tcMar>
              <w:top w:w="60" w:type="dxa"/>
              <w:bottom w:w="60" w:type="dxa"/>
              <w:left w:w="100" w:type="dxa"/>
              <w:right w:w="100" w:type="dxa"/>
            </w:tcMar>
          </w:tcPr>
          <w:p>
            <w:r>
              <w:rPr>
                <w:rFonts w:ascii="Calibri" w:hAnsi="Calibri"/>
                <w:color w:val="1E293B"/>
                <w:sz w:val="16"/>
              </w:rPr>
              <w:t>Gateway Earth Station Seizure</w:t>
            </w:r>
          </w:p>
        </w:tc>
        <w:tc>
          <w:tcPr>
            <w:tcW w:type="dxa" w:w="3312"/>
            <w:shd w:fill="F8FAFC"/>
            <w:tcMar>
              <w:top w:w="60" w:type="dxa"/>
              <w:bottom w:w="60" w:type="dxa"/>
              <w:left w:w="100" w:type="dxa"/>
              <w:right w:w="100" w:type="dxa"/>
            </w:tcMar>
          </w:tcPr>
          <w:p>
            <w:r>
              <w:rPr>
                <w:rFonts w:ascii="Calibri" w:hAnsi="Calibri"/>
                <w:color w:val="1E293B"/>
                <w:sz w:val="16"/>
              </w:rPr>
              <w:t>Total Outage: Downlinks trapped at foreign border teleports</w:t>
            </w:r>
          </w:p>
        </w:tc>
        <w:tc>
          <w:tcPr>
            <w:tcW w:type="dxa" w:w="3456"/>
            <w:shd w:fill="F8FAFC"/>
            <w:tcMar>
              <w:top w:w="60" w:type="dxa"/>
              <w:bottom w:w="60" w:type="dxa"/>
              <w:left w:w="100" w:type="dxa"/>
              <w:right w:w="100" w:type="dxa"/>
            </w:tcMar>
          </w:tcPr>
          <w:p>
            <w:r>
              <w:rPr>
                <w:rFonts w:ascii="Calibri" w:hAnsi="Calibri"/>
                <w:color w:val="1E293B"/>
                <w:sz w:val="16"/>
              </w:rPr>
              <w:t>Immune: Stateless direct inter-node routing within territory</w:t>
            </w:r>
          </w:p>
        </w:tc>
      </w:tr>
      <w:tr>
        <w:tc>
          <w:tcPr>
            <w:tcW w:type="dxa" w:w="2592"/>
            <w:shd w:fill="FFFFFF"/>
            <w:tcMar>
              <w:top w:w="60" w:type="dxa"/>
              <w:bottom w:w="60" w:type="dxa"/>
              <w:left w:w="100" w:type="dxa"/>
              <w:right w:w="100" w:type="dxa"/>
            </w:tcMar>
          </w:tcPr>
          <w:p>
            <w:r>
              <w:rPr>
                <w:rFonts w:ascii="Calibri" w:hAnsi="Calibri"/>
                <w:color w:val="1E293B"/>
                <w:sz w:val="16"/>
              </w:rPr>
              <w:t>Space Jamming / ASAT Weapons</w:t>
            </w:r>
          </w:p>
        </w:tc>
        <w:tc>
          <w:tcPr>
            <w:tcW w:type="dxa" w:w="3312"/>
            <w:shd w:fill="FFFFFF"/>
            <w:tcMar>
              <w:top w:w="60" w:type="dxa"/>
              <w:bottom w:w="60" w:type="dxa"/>
              <w:left w:w="100" w:type="dxa"/>
              <w:right w:w="100" w:type="dxa"/>
            </w:tcMar>
          </w:tcPr>
          <w:p>
            <w:r>
              <w:rPr>
                <w:rFonts w:ascii="Calibri" w:hAnsi="Calibri"/>
                <w:color w:val="1E293B"/>
                <w:sz w:val="16"/>
              </w:rPr>
              <w:t>Vulnerable: Orbital constellation permanently disabled</w:t>
            </w:r>
          </w:p>
        </w:tc>
        <w:tc>
          <w:tcPr>
            <w:tcW w:type="dxa" w:w="3456"/>
            <w:shd w:fill="FFFFFF"/>
            <w:tcMar>
              <w:top w:w="60" w:type="dxa"/>
              <w:bottom w:w="60" w:type="dxa"/>
              <w:left w:w="100" w:type="dxa"/>
              <w:right w:w="100" w:type="dxa"/>
            </w:tcMar>
          </w:tcPr>
          <w:p>
            <w:r>
              <w:rPr>
                <w:rFonts w:ascii="Calibri" w:hAnsi="Calibri"/>
                <w:color w:val="1E293B"/>
                <w:sz w:val="16"/>
              </w:rPr>
              <w:t>Survivable: Space-free HF ionospheric skywaves span 3,500 km</w:t>
            </w:r>
          </w:p>
        </w:tc>
      </w:tr>
      <w:tr>
        <w:tc>
          <w:tcPr>
            <w:tcW w:type="dxa" w:w="2592"/>
            <w:shd w:fill="F8FAFC"/>
            <w:tcMar>
              <w:top w:w="60" w:type="dxa"/>
              <w:bottom w:w="60" w:type="dxa"/>
              <w:left w:w="100" w:type="dxa"/>
              <w:right w:w="100" w:type="dxa"/>
            </w:tcMar>
          </w:tcPr>
          <w:p>
            <w:r>
              <w:rPr>
                <w:rFonts w:ascii="Calibri" w:hAnsi="Calibri"/>
                <w:color w:val="1E293B"/>
                <w:sz w:val="16"/>
              </w:rPr>
              <w:t>Traffic Metadata &amp; GPS Interception</w:t>
            </w:r>
          </w:p>
        </w:tc>
        <w:tc>
          <w:tcPr>
            <w:tcW w:type="dxa" w:w="3312"/>
            <w:shd w:fill="F8FAFC"/>
            <w:tcMar>
              <w:top w:w="60" w:type="dxa"/>
              <w:bottom w:w="60" w:type="dxa"/>
              <w:left w:w="100" w:type="dxa"/>
              <w:right w:w="100" w:type="dxa"/>
            </w:tcMar>
          </w:tcPr>
          <w:p>
            <w:r>
              <w:rPr>
                <w:rFonts w:ascii="Calibri" w:hAnsi="Calibri"/>
                <w:color w:val="1E293B"/>
                <w:sz w:val="16"/>
              </w:rPr>
              <w:t>Compromised: Vendor tracks dish GPS coordinates &amp; telemetry</w:t>
            </w:r>
          </w:p>
        </w:tc>
        <w:tc>
          <w:tcPr>
            <w:tcW w:type="dxa" w:w="3456"/>
            <w:shd w:fill="F8FAFC"/>
            <w:tcMar>
              <w:top w:w="60" w:type="dxa"/>
              <w:bottom w:w="60" w:type="dxa"/>
              <w:left w:w="100" w:type="dxa"/>
              <w:right w:w="100" w:type="dxa"/>
            </w:tcMar>
          </w:tcPr>
          <w:p>
            <w:r>
              <w:rPr>
                <w:rFonts w:ascii="Calibri" w:hAnsi="Calibri"/>
                <w:color w:val="1E293B"/>
                <w:sz w:val="16"/>
              </w:rPr>
              <w:t>Zero Leakage: Ephemeral 128-bit Public Key Hashes (PKH)</w:t>
            </w:r>
          </w:p>
        </w:tc>
      </w:tr>
      <w:tr>
        <w:tc>
          <w:tcPr>
            <w:tcW w:type="dxa" w:w="2592"/>
            <w:shd w:fill="EFF6FF"/>
            <w:tcMar>
              <w:top w:w="60" w:type="dxa"/>
              <w:bottom w:w="60" w:type="dxa"/>
              <w:left w:w="100" w:type="dxa"/>
              <w:right w:w="100" w:type="dxa"/>
            </w:tcMar>
          </w:tcPr>
          <w:p>
            <w:r>
              <w:rPr>
                <w:rFonts w:ascii="Calibri" w:hAnsi="Calibri"/>
                <w:b/>
                <w:color w:val="1E3A8A"/>
                <w:sz w:val="16"/>
              </w:rPr>
              <w:t>Capital Expenditure &amp; Sovereignty</w:t>
            </w:r>
          </w:p>
        </w:tc>
        <w:tc>
          <w:tcPr>
            <w:tcW w:type="dxa" w:w="3312"/>
            <w:shd w:fill="EFF6FF"/>
            <w:tcMar>
              <w:top w:w="60" w:type="dxa"/>
              <w:bottom w:w="60" w:type="dxa"/>
              <w:left w:w="100" w:type="dxa"/>
              <w:right w:w="100" w:type="dxa"/>
            </w:tcMar>
          </w:tcPr>
          <w:p>
            <w:r>
              <w:rPr>
                <w:rFonts w:ascii="Calibri" w:hAnsi="Calibri"/>
                <w:b/>
                <w:color w:val="1E3A8A"/>
                <w:sz w:val="16"/>
              </w:rPr>
              <w:t>Foreign corporate dependency costing billions annually</w:t>
            </w:r>
          </w:p>
        </w:tc>
        <w:tc>
          <w:tcPr>
            <w:tcW w:type="dxa" w:w="3456"/>
            <w:shd w:fill="EFF6FF"/>
            <w:tcMar>
              <w:top w:w="60" w:type="dxa"/>
              <w:bottom w:w="60" w:type="dxa"/>
              <w:left w:w="100" w:type="dxa"/>
              <w:right w:w="100" w:type="dxa"/>
            </w:tcMar>
          </w:tcPr>
          <w:p>
            <w:r>
              <w:rPr>
                <w:rFonts w:ascii="Calibri" w:hAnsi="Calibri"/>
                <w:b/>
                <w:color w:val="1E3A8A"/>
                <w:sz w:val="16"/>
              </w:rPr>
              <w:t>Open-standard CubeSats, off-the-shelf SDRs, open microcontrollers</w:t>
            </w:r>
          </w:p>
        </w:tc>
      </w:tr>
    </w:tbl>
    <w:p/>
    <w:p>
      <w:pPr>
        <w:pStyle w:val="Heading1"/>
        <w:spacing w:before="280" w:after="120"/>
      </w:pPr>
      <w:r>
        <w:rPr>
          <w:rFonts w:ascii="Calibri" w:hAnsi="Calibri"/>
          <w:b/>
          <w:color w:val="1E3A8A"/>
          <w:sz w:val="26"/>
        </w:rPr>
        <w:t>5. Conclusion &amp; Strategic Roadmap</w:t>
      </w:r>
    </w:p>
    <w:p>
      <w:pPr>
        <w:spacing w:line="276" w:lineRule="auto" w:after="280"/>
      </w:pPr>
      <w:r>
        <w:t>Extraterritorial telecommunications monopolies represent an unacceptable existential vulnerability to national sovereignty. The National Sovereign Network (NSN), powered by the zero-GC Nyx Sovereign Mesh Protocol (NSMP), establishes that true telecommunications independence does not require replicating multi-billion-dollar corporate constellations. By combining open CubeSats, space-free HF skywaves, and tactical terrestrial mesh grids into a unified, cryptographic wire format, sovereign nations guarantee that their critical infrastructure can never be silenced by an external administrative kill switch.</w:t>
      </w:r>
    </w:p>
    <w:p>
      <w:pPr>
        <w:pStyle w:val="Heading1"/>
        <w:spacing w:before="280" w:after="120"/>
      </w:pPr>
      <w:r>
        <w:rPr>
          <w:rFonts w:ascii="Calibri" w:hAnsi="Calibri"/>
          <w:b/>
          <w:color w:val="1E3A8A"/>
          <w:sz w:val="26"/>
        </w:rPr>
        <w:t>References</w:t>
      </w:r>
    </w:p>
    <w:p>
      <w:pPr>
        <w:spacing w:after="80" w:line="276" w:lineRule="auto"/>
        <w:ind w:left="432" w:hanging="432"/>
      </w:pPr>
      <w:r>
        <w:rPr>
          <w:rFonts w:ascii="Calibri" w:hAnsi="Calibri"/>
          <w:b/>
          <w:sz w:val="19"/>
        </w:rPr>
        <w:t xml:space="preserve">[1] </w:t>
      </w:r>
      <w:r>
        <w:rPr>
          <w:rFonts w:ascii="Calibri" w:hAnsi="Calibri"/>
          <w:color w:val="334155"/>
          <w:sz w:val="19"/>
        </w:rPr>
        <w:t>Cerf, V., &amp; Kahn, R. (1974). A Protocol for Packet Network Intercommunication. IEEE Transactions on Communications, 22(5), 637-648.</w:t>
      </w:r>
    </w:p>
    <w:p>
      <w:pPr>
        <w:spacing w:after="80" w:line="276" w:lineRule="auto"/>
        <w:ind w:left="432" w:hanging="432"/>
      </w:pPr>
      <w:r>
        <w:rPr>
          <w:rFonts w:ascii="Calibri" w:hAnsi="Calibri"/>
          <w:b/>
          <w:sz w:val="19"/>
        </w:rPr>
        <w:t xml:space="preserve">[2] </w:t>
      </w:r>
      <w:r>
        <w:rPr>
          <w:rFonts w:ascii="Calibri" w:hAnsi="Calibri"/>
          <w:color w:val="334155"/>
          <w:sz w:val="19"/>
        </w:rPr>
        <w:t>Davies, K. (1990). Ionospheric Radio. IET Electromagnetic Waves Series, Peter Peregrinus Ltd.</w:t>
      </w:r>
    </w:p>
    <w:p>
      <w:pPr>
        <w:spacing w:after="80" w:line="276" w:lineRule="auto"/>
        <w:ind w:left="432" w:hanging="432"/>
      </w:pPr>
      <w:r>
        <w:rPr>
          <w:rFonts w:ascii="Calibri" w:hAnsi="Calibri"/>
          <w:b/>
          <w:sz w:val="19"/>
        </w:rPr>
        <w:t xml:space="preserve">[3] </w:t>
      </w:r>
      <w:r>
        <w:rPr>
          <w:rFonts w:ascii="Calibri" w:hAnsi="Calibri"/>
          <w:color w:val="334155"/>
          <w:sz w:val="19"/>
        </w:rPr>
        <w:t>Bala, S. (2026). The Nyx Sovereign Mesh Protocol (NSMP): A Zero-GC, Cryptographic Identity-Addressed, Multi-Bearer Architecture. Nyx Technical Papers.</w:t>
      </w:r>
    </w:p>
    <w:p>
      <w:pPr>
        <w:spacing w:after="80" w:line="276" w:lineRule="auto"/>
        <w:ind w:left="432" w:hanging="432"/>
      </w:pPr>
      <w:r>
        <w:rPr>
          <w:rFonts w:ascii="Calibri" w:hAnsi="Calibri"/>
          <w:b/>
          <w:sz w:val="19"/>
        </w:rPr>
        <w:t xml:space="preserve">[4] </w:t>
      </w:r>
      <w:r>
        <w:rPr>
          <w:rFonts w:ascii="Calibri" w:hAnsi="Calibri"/>
          <w:color w:val="334155"/>
          <w:sz w:val="19"/>
        </w:rPr>
        <w:t>Perrig, A., Szalachowski, P., Reischuk, R. M., &amp; Chawathe, Y. (2017). SCION: A Secure Internet Architecture. Springer International Publishing.</w:t>
      </w:r>
    </w:p>
    <w:p>
      <w:pPr>
        <w:spacing w:after="80" w:line="276" w:lineRule="auto"/>
        <w:ind w:left="432" w:hanging="432"/>
      </w:pPr>
      <w:r>
        <w:rPr>
          <w:rFonts w:ascii="Calibri" w:hAnsi="Calibri"/>
          <w:b/>
          <w:sz w:val="19"/>
        </w:rPr>
        <w:t xml:space="preserve">[5] </w:t>
      </w:r>
      <w:r>
        <w:rPr>
          <w:rFonts w:ascii="Calibri" w:hAnsi="Calibri"/>
          <w:color w:val="334155"/>
          <w:sz w:val="19"/>
        </w:rPr>
        <w:t>Reticulum Network Project. (2022). Reticulum: A Cryptography-Based Networking Stack for Wide-Area Mesh Networks. https://reticulum.network</w:t>
      </w:r>
    </w:p>
    <w:p>
      <w:pPr>
        <w:spacing w:after="80" w:line="276" w:lineRule="auto"/>
        <w:ind w:left="432" w:hanging="432"/>
      </w:pPr>
      <w:r>
        <w:rPr>
          <w:rFonts w:ascii="Calibri" w:hAnsi="Calibri"/>
          <w:b/>
          <w:sz w:val="19"/>
        </w:rPr>
        <w:t xml:space="preserve">[6] </w:t>
      </w:r>
      <w:r>
        <w:rPr>
          <w:rFonts w:ascii="Calibri" w:hAnsi="Calibri"/>
          <w:color w:val="334155"/>
          <w:sz w:val="19"/>
        </w:rPr>
        <w:t>Bala, S. (2026). Beyond Garbage Collection: Automated Region Inference and Pure Silicon Compilation in Nyx. Nyx Language Research Technical Reports.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